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E782F7">
      <w:pPr>
        <w:adjustRightInd w:val="0"/>
        <w:snapToGrid w:val="0"/>
        <w:spacing w:line="560" w:lineRule="exact"/>
        <w:rPr>
          <w:rFonts w:hint="eastAsia" w:ascii="方正小标宋简体" w:hAnsi="方正小标宋简体" w:eastAsia="方正小标宋简体" w:cs="方正小标宋简体"/>
          <w:kern w:val="0"/>
          <w:sz w:val="44"/>
          <w:szCs w:val="44"/>
        </w:rPr>
      </w:pPr>
    </w:p>
    <w:p w14:paraId="3397F45B">
      <w:pPr>
        <w:adjustRightInd w:val="0"/>
        <w:snapToGrid w:val="0"/>
        <w:spacing w:line="560" w:lineRule="exact"/>
        <w:ind w:firstLine="220" w:firstLineChars="50"/>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 xml:space="preserve"> 2025年农业防灾减灾和水利救灾资金</w:t>
      </w:r>
    </w:p>
    <w:p w14:paraId="67860A7E">
      <w:pPr>
        <w:adjustRightInd w:val="0"/>
        <w:snapToGrid w:val="0"/>
        <w:spacing w:line="560" w:lineRule="exact"/>
        <w:ind w:firstLine="220" w:firstLineChars="50"/>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动物防疫补助实施方案</w:t>
      </w:r>
    </w:p>
    <w:p w14:paraId="1C4D6FE6">
      <w:pPr>
        <w:ind w:firstLine="2080" w:firstLineChars="650"/>
        <w:rPr>
          <w:rFonts w:hint="eastAsia" w:ascii="仿宋" w:hAnsi="仿宋" w:eastAsia="仿宋"/>
          <w:sz w:val="32"/>
          <w:szCs w:val="32"/>
        </w:rPr>
      </w:pPr>
    </w:p>
    <w:p w14:paraId="61CA8226">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扎实做好非洲猪瘟等重大动物疫病防控相关工作，支持我区动物强制免疫疫病监测净化和养殖环节病死猪无害化处理工作，根据市农业农村局《关于印发2025年农业防灾减灾和水利救灾资金（动物防疫补助）实施方案的通知》（陕农计财发〔2025〕26号）文件精神，结合我区实际，现制定《陈仓区2025年农业防灾减灾和水利救灾资金动物防疫补助实施方案》如下。</w:t>
      </w:r>
    </w:p>
    <w:p w14:paraId="30EFE377">
      <w:pPr>
        <w:ind w:firstLine="640" w:firstLineChars="200"/>
        <w:rPr>
          <w:rFonts w:hint="eastAsia" w:ascii="黑体" w:hAnsi="黑体" w:eastAsia="黑体"/>
          <w:sz w:val="32"/>
          <w:szCs w:val="32"/>
        </w:rPr>
      </w:pPr>
      <w:r>
        <w:rPr>
          <w:rFonts w:hint="eastAsia" w:ascii="黑体" w:hAnsi="黑体" w:eastAsia="黑体"/>
          <w:sz w:val="32"/>
          <w:szCs w:val="32"/>
        </w:rPr>
        <w:t>一、指导思想</w:t>
      </w:r>
    </w:p>
    <w:p w14:paraId="7DF62923">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深入贯彻落实党的二十大、二十届三中全会精神，以习近平新时代中国特色社会主义思想为指导，按照习近平总书记“实行积极防御、主动治理，坚持人病兽防、关口前移，从源头前端阻断人兽共患病的传播路径”的重要指示，聚焦“保供给、保安全、保生态、促增收”目标任务，按照《中华人民共和国动物防疫法》《中华人民共和国生物安全法》和《陕西省实施&lt;</w:t>
      </w:r>
      <w:r>
        <w:rPr>
          <w:rFonts w:hint="eastAsia" w:ascii="仿宋_GB2312" w:hAnsi="仿宋_GB2312" w:eastAsia="仿宋_GB2312" w:cs="仿宋_GB2312"/>
          <w:kern w:val="0"/>
          <w:sz w:val="32"/>
          <w:szCs w:val="32"/>
          <w:lang w:val="en-US" w:eastAsia="zh-CN"/>
        </w:rPr>
        <w:t>中华人民共和国</w:t>
      </w:r>
      <w:r>
        <w:rPr>
          <w:rFonts w:hint="eastAsia" w:ascii="仿宋_GB2312" w:hAnsi="仿宋_GB2312" w:eastAsia="仿宋_GB2312" w:cs="仿宋_GB2312"/>
          <w:kern w:val="0"/>
          <w:sz w:val="32"/>
          <w:szCs w:val="32"/>
        </w:rPr>
        <w:t>动物防疫法&gt;办法》规定，落实高致病性禽流感等重大动物疫病强制免疫，加强养殖环节病死猪无害化处理，做好重大动物疫病和重点人畜共患病疫情处置，保障肉蛋奶等重要畜禽产品的稳产保供，有效预防、控制和扑灭动物疫病，促进畜牧业高质量发展，保护人体健康，维护公共卫生安全。</w:t>
      </w:r>
    </w:p>
    <w:p w14:paraId="67952CE8">
      <w:pPr>
        <w:ind w:firstLine="640" w:firstLineChars="200"/>
        <w:rPr>
          <w:rFonts w:hint="eastAsia" w:ascii="黑体" w:hAnsi="黑体" w:eastAsia="黑体"/>
          <w:sz w:val="32"/>
          <w:szCs w:val="32"/>
        </w:rPr>
      </w:pPr>
      <w:r>
        <w:rPr>
          <w:rFonts w:hint="eastAsia" w:ascii="黑体" w:hAnsi="黑体" w:eastAsia="黑体"/>
          <w:sz w:val="32"/>
          <w:szCs w:val="32"/>
        </w:rPr>
        <w:t>二、目标任务</w:t>
      </w:r>
    </w:p>
    <w:p w14:paraId="60E8B099">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通过项目实施，落实动物防疫政府属地责任、部门监管责任和养殖场（户）主体责任，建立健全重大动物疫病防治长效机制，提升风险防范和综合防治能力，确保完成重大动物疫病强制免疫密度达90%以上、免疫抗体平均合格率（除布病和包虫病）常年保持70%以上、养殖环节病死猪无害化处理率100%、重大动物疫情依法处置率100%等目标任务，逐步控制、净化和消灭严重危害畜牧业生产和人民群众健康安全的动物疫病，确保不发生重大动物疫病区域性流行，确保不发生畜产品和公共卫生安全事件。</w:t>
      </w:r>
    </w:p>
    <w:p w14:paraId="59CBC222">
      <w:pPr>
        <w:ind w:firstLine="640" w:firstLineChars="200"/>
        <w:rPr>
          <w:rFonts w:hint="eastAsia" w:ascii="黑体" w:hAnsi="黑体" w:eastAsia="黑体"/>
          <w:sz w:val="32"/>
          <w:szCs w:val="32"/>
        </w:rPr>
      </w:pPr>
      <w:r>
        <w:rPr>
          <w:rFonts w:hint="eastAsia" w:ascii="黑体" w:hAnsi="黑体" w:eastAsia="黑体"/>
          <w:sz w:val="32"/>
          <w:szCs w:val="32"/>
        </w:rPr>
        <w:t>三、基本原则</w:t>
      </w:r>
    </w:p>
    <w:p w14:paraId="78E38969">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畜牧业高质量发展和公共卫生安全的要求，落实强制免疫、养殖环节病死猪无害化处理、重大动物疫病检测阳性扑杀处置政策，有效防控非洲猪瘟等重大动物疫病和重点人畜共患病，按照“政策目标明确、分配办法科学、支出方向协调、绩效结果导向”的原则，分配、使用和管理，严格规范财政预算绩效管理，全面落实预算绩效管理要求，完成指导任务，加强责任约束，开展绩效考评，推行项目实施和绩效考评同步对标，细化资金扶持政策和使用方向，确保实现高致病性禽流感等重大动物疫病和布病等重点人畜共患病有效防控、全面净化的目标，发挥财政资金民生保障和服务作用。</w:t>
      </w:r>
    </w:p>
    <w:p w14:paraId="4C1B7309">
      <w:pPr>
        <w:ind w:firstLine="640" w:firstLineChars="200"/>
        <w:rPr>
          <w:rFonts w:hint="eastAsia" w:ascii="黑体" w:hAnsi="黑体" w:eastAsia="黑体"/>
          <w:sz w:val="32"/>
          <w:szCs w:val="32"/>
        </w:rPr>
      </w:pPr>
      <w:r>
        <w:rPr>
          <w:rFonts w:hint="eastAsia" w:ascii="黑体" w:hAnsi="黑体" w:eastAsia="黑体"/>
          <w:sz w:val="32"/>
          <w:szCs w:val="32"/>
        </w:rPr>
        <w:t>四、经费使用单位</w:t>
      </w:r>
    </w:p>
    <w:p w14:paraId="5418FDB4">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（一）实施单位：宝鸡市陈仓区畜牧兽医技术推广站，各镇（街）畜牧兽医工作站、区家畜良种繁育站。</w:t>
      </w:r>
    </w:p>
    <w:p w14:paraId="5DC9CFA2">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（二）监管单位:宝鸡市陈仓区农业农村局。</w:t>
      </w:r>
    </w:p>
    <w:p w14:paraId="222F739D">
      <w:pPr>
        <w:ind w:firstLine="640" w:firstLineChars="200"/>
        <w:rPr>
          <w:rFonts w:hint="eastAsia" w:ascii="黑体" w:hAnsi="黑体" w:eastAsia="黑体"/>
          <w:sz w:val="32"/>
          <w:szCs w:val="32"/>
        </w:rPr>
      </w:pPr>
      <w:r>
        <w:rPr>
          <w:rFonts w:hint="eastAsia" w:ascii="黑体" w:hAnsi="黑体" w:eastAsia="黑体"/>
          <w:sz w:val="32"/>
          <w:szCs w:val="32"/>
        </w:rPr>
        <w:t>五、补助标准、对象及环节</w:t>
      </w:r>
    </w:p>
    <w:p w14:paraId="117307E2">
      <w:pPr>
        <w:ind w:firstLine="640" w:firstLineChars="200"/>
        <w:rPr>
          <w:rFonts w:hint="eastAsia" w:ascii="仿宋" w:hAnsi="仿宋" w:eastAsia="仿宋"/>
          <w:sz w:val="32"/>
          <w:szCs w:val="32"/>
        </w:rPr>
      </w:pPr>
      <w:r>
        <w:rPr>
          <w:rFonts w:hint="eastAsia" w:ascii="仿宋_GB2312" w:hAnsi="仿宋_GB2312" w:eastAsia="仿宋_GB2312" w:cs="仿宋_GB2312"/>
          <w:kern w:val="0"/>
          <w:sz w:val="32"/>
          <w:szCs w:val="32"/>
        </w:rPr>
        <w:t>动物防疫等补助经费严格按照《财政、农业农村部修订“动物防疫等补助经费”等三项农业相关转移支付资金管理办法》(财农〔2022〕25号）规定进行测算分配，主要用于强制免疫补助（规模养殖场强制免疫“先打后补”疫苗补助，实强制免疫注射补助、疫病监测与净化补助，免疫效果监测评价与人员防护补助）；重大动物疫病强制扑杀；养殖环节病死猪无害化处理等三方面6个子项的130.22万元支出。</w:t>
      </w:r>
      <w:r>
        <w:rPr>
          <w:rFonts w:hint="eastAsia" w:ascii="仿宋" w:hAnsi="仿宋" w:eastAsia="仿宋"/>
          <w:sz w:val="32"/>
          <w:szCs w:val="32"/>
        </w:rPr>
        <w:t xml:space="preserve"> </w:t>
      </w:r>
    </w:p>
    <w:p w14:paraId="05022546">
      <w:pPr>
        <w:ind w:firstLine="482" w:firstLineChars="150"/>
        <w:rPr>
          <w:rFonts w:hint="eastAsia" w:ascii="仿宋_GB2312" w:hAnsi="仿宋_GB2312" w:eastAsia="仿宋_GB2312" w:cs="仿宋_GB2312"/>
          <w:kern w:val="0"/>
          <w:sz w:val="32"/>
          <w:szCs w:val="32"/>
        </w:rPr>
      </w:pPr>
      <w:r>
        <w:rPr>
          <w:rFonts w:hint="eastAsia" w:ascii="楷体_GB2312" w:hAnsi="楷体" w:eastAsia="楷体_GB2312"/>
          <w:b/>
          <w:bCs/>
          <w:sz w:val="32"/>
          <w:szCs w:val="32"/>
        </w:rPr>
        <w:t>（一）强制免疫补助经费（72.0万元）。</w:t>
      </w:r>
      <w:r>
        <w:rPr>
          <w:rFonts w:hint="eastAsia" w:ascii="仿宋_GB2312" w:hAnsi="仿宋_GB2312" w:eastAsia="仿宋_GB2312" w:cs="仿宋_GB2312"/>
          <w:kern w:val="0"/>
          <w:sz w:val="32"/>
          <w:szCs w:val="32"/>
        </w:rPr>
        <w:t>主要用干开展口蹄疫、H5+H7高致病性禽流感、小反刍兽疫等动物疫病的规模养殖场强制免疫“先打后补”疫苗补助、强制免疫注射、防疫物资采购、抗体监测采血、免疫应激死亡补助、政府购买动物防疫服务等予以补助。区畜牧兽医技术推广站要积极推进规模养殖场（户）的“先打后补”工作，确保符合条件的养殖场（户）享受国家的补助政策，该项资金保护3个子项，分别是：</w:t>
      </w:r>
    </w:p>
    <w:p w14:paraId="3E5C9C70">
      <w:pPr>
        <w:ind w:firstLine="643" w:firstLineChars="200"/>
        <w:rPr>
          <w:rFonts w:hint="eastAsia" w:ascii="仿宋_GB2312" w:hAnsi="仿宋_GB2312" w:eastAsia="仿宋_GB2312" w:cs="仿宋_GB2312"/>
          <w:kern w:val="0"/>
          <w:sz w:val="32"/>
          <w:szCs w:val="32"/>
        </w:rPr>
      </w:pPr>
      <w:r>
        <w:rPr>
          <w:rFonts w:hint="eastAsia" w:ascii="仿宋_GB2312" w:hAnsi="楷体" w:eastAsia="仿宋_GB2312"/>
          <w:b/>
          <w:sz w:val="32"/>
          <w:szCs w:val="32"/>
        </w:rPr>
        <w:t>1.强制免疫疫苗经费（40.0万元）。</w:t>
      </w:r>
      <w:r>
        <w:rPr>
          <w:rFonts w:hint="eastAsia" w:ascii="仿宋_GB2312" w:hAnsi="仿宋_GB2312" w:eastAsia="仿宋_GB2312" w:cs="仿宋_GB2312"/>
          <w:kern w:val="0"/>
          <w:sz w:val="32"/>
          <w:szCs w:val="32"/>
        </w:rPr>
        <w:t>截止2024年我区“先打后补”疫苗补助经费结余123246.75元，结余资金与本年度40万元共计523246.75元合计审核使用，继续遵循“专款专用、结余下转、不足来年补齐”的使用原则等秋防结束后一并拨付使用。</w:t>
      </w:r>
    </w:p>
    <w:p w14:paraId="01EA3C66">
      <w:pPr>
        <w:ind w:firstLine="645"/>
        <w:rPr>
          <w:rFonts w:hint="eastAsia" w:ascii="仿宋" w:hAnsi="仿宋" w:eastAsia="仿宋"/>
          <w:sz w:val="32"/>
          <w:szCs w:val="32"/>
        </w:rPr>
      </w:pPr>
      <w:r>
        <w:rPr>
          <w:rFonts w:hint="eastAsia" w:ascii="仿宋_GB2312" w:hAnsi="楷体" w:eastAsia="仿宋_GB2312"/>
          <w:b/>
          <w:sz w:val="32"/>
          <w:szCs w:val="32"/>
        </w:rPr>
        <w:t>2.强制免疫注射补助经费（21.0万元）。</w:t>
      </w:r>
      <w:r>
        <w:rPr>
          <w:rFonts w:hint="eastAsia" w:ascii="仿宋_GB2312" w:hAnsi="仿宋_GB2312" w:eastAsia="仿宋_GB2312" w:cs="仿宋_GB2312"/>
          <w:kern w:val="0"/>
          <w:sz w:val="32"/>
          <w:szCs w:val="32"/>
        </w:rPr>
        <w:t>根据省市实施方案，这次强制免疫注射补助经费主要用于基层动物防疫员或兽医社会化服务机构完成动物强制免疫注射、动物免疫档案建立等任务。本次市上下达预算指标21.0万元，我局将根据主要强制免疫畜禽疫病工作量，结合我区畜牧业规模化发展现状和村级防疫员配备等，参照春秋动物防疫考核评估结果，以实际参与单位工作包抓量、综合审定拨付计划，剩余经费统筹用于防疫物资采购、抗体监测采血、监测试剂购买、免疫应激死亡补助等；下达计划后，各镇（街）根据村级防疫员工作任务完成情况统筹安排动物强制免疫经费（全区秋防结束后综合评定，附加《资金分配表》分镇街拨付）。</w:t>
      </w:r>
    </w:p>
    <w:p w14:paraId="63441810">
      <w:pPr>
        <w:ind w:firstLine="645"/>
        <w:rPr>
          <w:rFonts w:hint="eastAsia" w:ascii="仿宋_GB2312" w:hAnsi="楷体" w:eastAsia="仿宋_GB2312"/>
          <w:bCs/>
          <w:sz w:val="32"/>
          <w:szCs w:val="32"/>
        </w:rPr>
      </w:pPr>
      <w:r>
        <w:rPr>
          <w:rFonts w:hint="eastAsia" w:ascii="仿宋_GB2312" w:hAnsi="楷体" w:eastAsia="仿宋_GB2312"/>
          <w:b/>
          <w:sz w:val="32"/>
          <w:szCs w:val="32"/>
        </w:rPr>
        <w:t>3.重大动物疫病和重点人兽共患病监测净化（5.0万元）。</w:t>
      </w:r>
      <w:r>
        <w:rPr>
          <w:rFonts w:hint="eastAsia" w:ascii="仿宋_GB2312" w:hAnsi="楷体" w:eastAsia="仿宋_GB2312"/>
          <w:bCs/>
          <w:sz w:val="32"/>
          <w:szCs w:val="32"/>
        </w:rPr>
        <w:t>此项疫病监测与净化补助经费主要用于种畜禽场、500头以上规模奶畜场、净化场、无疫小区等开展主要动物疫病监测净化所采取的全群采样监测、消毒灭源、生物安全管理等开展的综合防控措施。具体结合我区各个畜种和病种采样检测方法、消灭净化综合成本等因素分解确定，包干使用。</w:t>
      </w:r>
    </w:p>
    <w:p w14:paraId="121BC204">
      <w:pPr>
        <w:ind w:firstLine="645"/>
        <w:rPr>
          <w:rFonts w:hint="eastAsia" w:ascii="仿宋_GB2312" w:hAnsi="仿宋_GB2312" w:eastAsia="仿宋_GB2312" w:cs="仿宋_GB2312"/>
          <w:kern w:val="0"/>
          <w:sz w:val="32"/>
          <w:szCs w:val="32"/>
        </w:rPr>
      </w:pPr>
      <w:r>
        <w:rPr>
          <w:rFonts w:hint="eastAsia" w:ascii="仿宋_GB2312" w:hAnsi="楷体" w:eastAsia="仿宋_GB2312"/>
          <w:b/>
          <w:sz w:val="32"/>
          <w:szCs w:val="32"/>
        </w:rPr>
        <w:t>4.免疫效价监测评估和人员防护补助经费（6.0万元）。</w:t>
      </w:r>
      <w:r>
        <w:rPr>
          <w:rFonts w:hint="eastAsia" w:ascii="仿宋_GB2312" w:hAnsi="仿宋_GB2312" w:eastAsia="仿宋_GB2312" w:cs="仿宋_GB2312"/>
          <w:kern w:val="0"/>
          <w:sz w:val="32"/>
          <w:szCs w:val="32"/>
        </w:rPr>
        <w:t>根据《陕西省动物疫病监测与流行病学调查计划（2021-2025年）》和省市《实施方案》要求，此项经费补助主要用于采购开展强制免疫和“先打后补”等免疫效果监测评价所需试剂、药品、耗材，动物无疫区、无疫小区和净化场监测净化和维持无疫病状态检测所需试剂，动物防疫人员在免疫、监测、动物卫生监督、疫情处理时所需防护用品等。</w:t>
      </w:r>
    </w:p>
    <w:p w14:paraId="4DEEC655">
      <w:pPr>
        <w:ind w:firstLine="482" w:firstLineChars="150"/>
        <w:rPr>
          <w:rFonts w:hint="eastAsia" w:ascii="仿宋_GB2312" w:hAnsi="仿宋_GB2312" w:eastAsia="仿宋_GB2312" w:cs="仿宋_GB2312"/>
          <w:kern w:val="0"/>
          <w:sz w:val="32"/>
          <w:szCs w:val="32"/>
        </w:rPr>
      </w:pPr>
      <w:r>
        <w:rPr>
          <w:rFonts w:hint="eastAsia" w:ascii="楷体_GB2312" w:hAnsi="楷体" w:eastAsia="楷体_GB2312"/>
          <w:b/>
          <w:bCs/>
          <w:sz w:val="32"/>
          <w:szCs w:val="32"/>
        </w:rPr>
        <w:t>（二）重大动物疫病强制扑杀和销毁补助（6.72万元）。</w:t>
      </w:r>
      <w:r>
        <w:rPr>
          <w:rFonts w:hint="eastAsia" w:ascii="楷体_GB2312" w:hAnsi="楷体" w:eastAsia="楷体_GB2312"/>
          <w:sz w:val="32"/>
          <w:szCs w:val="32"/>
        </w:rPr>
        <w:t>2024年全区经过“两病”（布病、结核病）监测阳性共扑杀132只奶山羊，6头牛。按照农业农村部、财政部《关于调整完善动物疫病防控支持政策的通知》（农医发〔2016〕35号）和陕西省农业</w:t>
      </w:r>
      <w:r>
        <w:rPr>
          <w:rFonts w:hint="eastAsia" w:ascii="楷体_GB2312" w:hAnsi="楷体" w:eastAsia="楷体_GB2312"/>
          <w:sz w:val="32"/>
          <w:szCs w:val="32"/>
          <w:lang w:val="en-US" w:eastAsia="zh-CN"/>
        </w:rPr>
        <w:t>农村</w:t>
      </w:r>
      <w:bookmarkStart w:id="0" w:name="_GoBack"/>
      <w:bookmarkEnd w:id="0"/>
      <w:r>
        <w:rPr>
          <w:rFonts w:hint="eastAsia" w:ascii="楷体_GB2312" w:hAnsi="楷体" w:eastAsia="楷体_GB2312"/>
          <w:sz w:val="32"/>
          <w:szCs w:val="32"/>
        </w:rPr>
        <w:t>厅、陕西省财政厅《印发陕西省调整完善动物疫病防控支持政策暂行方案的通知》（陕农业发〔2016〕102号）要求：按照羊400元/只、肉牛2400元/头扑杀补助标准，中央转移支付资金补助80%，省级资金补助20%。132只奶山羊补助5.28万元，6头牛补助1.44万元。2025年根据中央下达要求，补助资金按照全国动物卫生检测信息平台申报、审核结果，原则上应在资金下达3个月内及时足额兑付，选择采取到人到户补助的，原则上一律通过 “一卡通”统一发放。</w:t>
      </w:r>
    </w:p>
    <w:p w14:paraId="749C585F">
      <w:pPr>
        <w:ind w:firstLine="482" w:firstLineChars="150"/>
        <w:rPr>
          <w:rFonts w:hint="eastAsia" w:ascii="仿宋_GB2312" w:hAnsi="仿宋_GB2312" w:eastAsia="仿宋_GB2312" w:cs="仿宋_GB2312"/>
          <w:kern w:val="0"/>
          <w:sz w:val="32"/>
          <w:szCs w:val="32"/>
        </w:rPr>
      </w:pPr>
      <w:r>
        <w:rPr>
          <w:rFonts w:hint="eastAsia" w:ascii="楷体_GB2312" w:hAnsi="楷体" w:eastAsia="楷体_GB2312"/>
          <w:b/>
          <w:bCs/>
          <w:sz w:val="32"/>
          <w:szCs w:val="32"/>
        </w:rPr>
        <w:t>（三）养殖环节病死猪无害化处理补助经费（51.5万元）。</w:t>
      </w:r>
      <w:r>
        <w:rPr>
          <w:rFonts w:hint="eastAsia" w:ascii="仿宋_GB2312" w:hAnsi="仿宋_GB2312" w:eastAsia="仿宋_GB2312" w:cs="仿宋_GB2312"/>
          <w:kern w:val="0"/>
          <w:sz w:val="32"/>
          <w:szCs w:val="32"/>
        </w:rPr>
        <w:t>中央财政根据统计部门公布的生猪饲养量和合理的生猪病死率、实际处理率测算无害化处理补助经费，下达我区2025年养殖环节无害化处理补助经费51.5万元。根据我区上报的2024年养殖环节无害化处理情况8632.75头（每处理1头病死猪中央补助60元、省级10元、市县级各5元），综合测算分配中央补助经费，不足部分由上年结余补足。区畜牧兽医技术推广站要根据《陕西省人民政府办公厅关于建立病死畜禽无害化处理机制的实施意见》（陕政办发〔2015〕55号）]中养殖环节无害化处理补助的政策，按照“谁处理、补给谁”的原则，对承担养殖环节病死畜禽收集、转运、无害化处理等任务的实施者予以补助。此项补助将通过核定、公示，原则上在资金下达3个月内足额通过 “一卡通”或专用账户直接拨付无害化处理者。</w:t>
      </w:r>
    </w:p>
    <w:p w14:paraId="5C3B822B">
      <w:pPr>
        <w:ind w:firstLine="480" w:firstLineChars="15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以上三个方面6个子项涉及补助资金130.22万元。</w:t>
      </w:r>
    </w:p>
    <w:p w14:paraId="71FD9CE9">
      <w:pPr>
        <w:ind w:firstLine="640" w:firstLineChars="200"/>
        <w:rPr>
          <w:rFonts w:hint="eastAsia" w:ascii="黑体" w:hAnsi="黑体" w:eastAsia="黑体"/>
          <w:sz w:val="32"/>
          <w:szCs w:val="32"/>
        </w:rPr>
      </w:pPr>
      <w:r>
        <w:rPr>
          <w:rFonts w:hint="eastAsia" w:ascii="黑体" w:hAnsi="黑体" w:eastAsia="黑体"/>
          <w:sz w:val="32"/>
          <w:szCs w:val="32"/>
        </w:rPr>
        <w:t>六、项目经费保障措施</w:t>
      </w:r>
    </w:p>
    <w:p w14:paraId="29798910">
      <w:pPr>
        <w:ind w:firstLine="480" w:firstLineChars="150"/>
        <w:rPr>
          <w:rFonts w:hint="eastAsia" w:ascii="仿宋_GB2312" w:hAnsi="仿宋_GB2312" w:eastAsia="仿宋_GB2312" w:cs="仿宋_GB2312"/>
          <w:kern w:val="0"/>
          <w:sz w:val="32"/>
          <w:szCs w:val="32"/>
        </w:rPr>
      </w:pPr>
      <w:r>
        <w:rPr>
          <w:rFonts w:hint="eastAsia" w:ascii="楷体_GB2312" w:hAnsi="楷体" w:eastAsia="楷体_GB2312"/>
          <w:sz w:val="32"/>
          <w:szCs w:val="32"/>
        </w:rPr>
        <w:t>（一）切实加强组织领导。</w:t>
      </w:r>
      <w:r>
        <w:rPr>
          <w:rFonts w:hint="eastAsia" w:ascii="仿宋_GB2312" w:hAnsi="仿宋_GB2312" w:eastAsia="仿宋_GB2312" w:cs="仿宋_GB2312"/>
          <w:kern w:val="0"/>
          <w:sz w:val="32"/>
          <w:szCs w:val="32"/>
        </w:rPr>
        <w:t>为了确保项目顺利实施，达到预期的项目建设目标，陈仓区农业农村局成立由局长负责、副局长具体分管，局综合计划股、畜牧兽医及渔业管理股、区畜牧兽医技术推广站等单位负责人为成员的项目实施领导小组，明确工作目标，落实工作责任，全力承担项目方案的审定、量化考评，补助经费议案初定，项目资金的落实使用、督导实施、检查验收等组织协调和管理工作，确保项目按期顺利完成。</w:t>
      </w:r>
    </w:p>
    <w:p w14:paraId="368BEC60">
      <w:pPr>
        <w:ind w:firstLine="640" w:firstLineChars="200"/>
        <w:rPr>
          <w:rFonts w:hint="eastAsia" w:ascii="仿宋_GB2312" w:hAnsi="仿宋_GB2312" w:eastAsia="仿宋_GB2312" w:cs="仿宋_GB2312"/>
          <w:kern w:val="0"/>
          <w:sz w:val="32"/>
          <w:szCs w:val="32"/>
        </w:rPr>
      </w:pPr>
      <w:r>
        <w:rPr>
          <w:rFonts w:hint="eastAsia" w:ascii="楷体_GB2312" w:hAnsi="楷体" w:eastAsia="楷体_GB2312"/>
          <w:sz w:val="32"/>
          <w:szCs w:val="32"/>
        </w:rPr>
        <w:t>（二）严格资金使用方向。</w:t>
      </w:r>
      <w:r>
        <w:rPr>
          <w:rFonts w:hint="eastAsia" w:ascii="仿宋_GB2312" w:hAnsi="仿宋_GB2312" w:eastAsia="仿宋_GB2312" w:cs="仿宋_GB2312"/>
          <w:kern w:val="0"/>
          <w:sz w:val="32"/>
          <w:szCs w:val="32"/>
        </w:rPr>
        <w:t>区农业农村局要认真贯彻落实农业农村部、财政部相关文件精神，按照“大专项+任务清单”的管理方式，明确年度重点工作、支持方向、具体任务指标等任务清单，确保完成约束性任务。严格经费管理和监督，设定绩效目标；经费使用单位和个人严禁滞留截留、虚报冒领、挤占挪用动物防疫等补助经费和其他违法违规行为发生。</w:t>
      </w:r>
    </w:p>
    <w:p w14:paraId="30F7F63E">
      <w:pPr>
        <w:ind w:firstLine="480" w:firstLineChars="150"/>
        <w:rPr>
          <w:rFonts w:hint="eastAsia" w:ascii="仿宋" w:hAnsi="仿宋" w:eastAsia="仿宋"/>
          <w:sz w:val="32"/>
          <w:szCs w:val="32"/>
        </w:rPr>
      </w:pPr>
      <w:r>
        <w:rPr>
          <w:rFonts w:hint="eastAsia" w:ascii="楷体_GB2312" w:hAnsi="楷体" w:eastAsia="楷体_GB2312"/>
          <w:sz w:val="32"/>
          <w:szCs w:val="32"/>
        </w:rPr>
        <w:t>（三）提高资金使用效益。</w:t>
      </w:r>
      <w:r>
        <w:rPr>
          <w:rFonts w:hint="eastAsia" w:ascii="仿宋_GB2312" w:hAnsi="仿宋_GB2312" w:eastAsia="仿宋_GB2312" w:cs="仿宋_GB2312"/>
          <w:kern w:val="0"/>
          <w:sz w:val="32"/>
          <w:szCs w:val="32"/>
        </w:rPr>
        <w:t>区农业农村局畜牧兽医及渔业管理股要加强经费的预算执行管理，提高预算执行的及时性与有效性，提高资金使用效益，切实提升政策的精准性、指向性和实效性，充分发挥资金使用效益、强化非洲猪瘟等重大动物疫病防控，保障畜牧业生产安全和公共卫生安全</w:t>
      </w:r>
      <w:r>
        <w:rPr>
          <w:rFonts w:hint="eastAsia" w:ascii="仿宋" w:hAnsi="仿宋" w:eastAsia="仿宋"/>
          <w:sz w:val="32"/>
          <w:szCs w:val="32"/>
        </w:rPr>
        <w:t>。</w:t>
      </w:r>
    </w:p>
    <w:p w14:paraId="33AE7A6C">
      <w:pPr>
        <w:ind w:firstLine="480" w:firstLineChars="150"/>
        <w:rPr>
          <w:rFonts w:hint="eastAsia" w:ascii="仿宋_GB2312" w:hAnsi="仿宋_GB2312" w:eastAsia="仿宋_GB2312" w:cs="仿宋_GB2312"/>
          <w:kern w:val="0"/>
          <w:sz w:val="32"/>
          <w:szCs w:val="32"/>
        </w:rPr>
      </w:pPr>
      <w:r>
        <w:rPr>
          <w:rFonts w:hint="eastAsia" w:ascii="楷体_GB2312" w:hAnsi="楷体" w:eastAsia="楷体_GB2312"/>
          <w:sz w:val="32"/>
          <w:szCs w:val="32"/>
        </w:rPr>
        <w:t>（四）落实预算信息公开。</w:t>
      </w:r>
      <w:r>
        <w:rPr>
          <w:rFonts w:hint="eastAsia" w:ascii="仿宋_GB2312" w:hAnsi="仿宋_GB2312" w:eastAsia="仿宋_GB2312" w:cs="仿宋_GB2312"/>
          <w:kern w:val="0"/>
          <w:sz w:val="32"/>
          <w:szCs w:val="32"/>
        </w:rPr>
        <w:t>坚持公开透明原则，全面落实预算信息公开的要求，要通过多种形式推进信息公开，做好政策内容、补贴对象、补贴标准、受益对象等信息公开公示。认真落实好群众的知情权、参与权和监督权。</w:t>
      </w:r>
    </w:p>
    <w:p w14:paraId="479B492A">
      <w:pPr>
        <w:ind w:firstLine="480" w:firstLineChars="150"/>
        <w:rPr>
          <w:rFonts w:hint="eastAsia" w:ascii="仿宋_GB2312" w:hAnsi="仿宋_GB2312" w:eastAsia="仿宋_GB2312" w:cs="仿宋_GB2312"/>
          <w:kern w:val="0"/>
          <w:sz w:val="32"/>
          <w:szCs w:val="32"/>
        </w:rPr>
      </w:pPr>
      <w:r>
        <w:rPr>
          <w:rFonts w:hint="eastAsia" w:ascii="楷体_GB2312" w:hAnsi="楷体" w:eastAsia="楷体_GB2312"/>
          <w:sz w:val="32"/>
          <w:szCs w:val="32"/>
        </w:rPr>
        <w:t>（五）加强监督和评价。</w:t>
      </w:r>
      <w:r>
        <w:rPr>
          <w:rFonts w:hint="eastAsia" w:ascii="仿宋_GB2312" w:hAnsi="仿宋_GB2312" w:eastAsia="仿宋_GB2312" w:cs="仿宋_GB2312"/>
          <w:kern w:val="0"/>
          <w:sz w:val="32"/>
          <w:szCs w:val="32"/>
        </w:rPr>
        <w:t>各镇（街）和局属有关单位要组织核实资金支持对象的资格、条件，监督检查工作任务清单完成情况，开展绩效目标执行情况监控和绩效评价等工作，加强对动物防疫等补助经费分配、使用、管理情况的监督，发现问题及时纠正。要根据动物防疫等补助经费的年度工作任务清单或区域绩效目标，加强动物防疫等补助经费预算执行情况监管。区畜牧兽医技术推广站要在12月20日前将本年度动物防疫等补助项目实施总结、强制免疫疫苗补助使用结算和结余情况，以及下一年度强制免疫疫苗需求计划报区农业农村局和市畜牧兽医中心。</w:t>
      </w:r>
    </w:p>
    <w:p w14:paraId="2B52B87C">
      <w:pPr>
        <w:ind w:firstLine="480" w:firstLineChars="150"/>
        <w:rPr>
          <w:rFonts w:hint="eastAsia" w:ascii="仿宋_GB2312" w:hAnsi="仿宋_GB2312" w:eastAsia="仿宋_GB2312" w:cs="仿宋_GB2312"/>
          <w:kern w:val="0"/>
          <w:sz w:val="32"/>
          <w:szCs w:val="32"/>
        </w:rPr>
      </w:pPr>
    </w:p>
    <w:p w14:paraId="1F7C39ED">
      <w:pPr>
        <w:ind w:firstLine="480" w:firstLineChars="150"/>
        <w:rPr>
          <w:rFonts w:hint="eastAsia" w:ascii="仿宋_GB2312" w:hAnsi="仿宋_GB2312" w:eastAsia="仿宋_GB2312" w:cs="仿宋_GB2312"/>
          <w:kern w:val="0"/>
          <w:sz w:val="32"/>
          <w:szCs w:val="32"/>
        </w:rPr>
      </w:pPr>
    </w:p>
    <w:p w14:paraId="7BC6FA82">
      <w:pPr>
        <w:ind w:firstLine="480" w:firstLineChars="150"/>
        <w:rPr>
          <w:rFonts w:hint="eastAsia" w:ascii="仿宋_GB2312" w:hAnsi="仿宋_GB2312" w:eastAsia="仿宋_GB2312" w:cs="仿宋_GB2312"/>
          <w:kern w:val="0"/>
          <w:sz w:val="32"/>
          <w:szCs w:val="32"/>
        </w:rPr>
      </w:pPr>
    </w:p>
    <w:p w14:paraId="1B853D06">
      <w:pPr>
        <w:ind w:firstLine="480" w:firstLineChars="150"/>
        <w:rPr>
          <w:rFonts w:hint="eastAsia" w:ascii="仿宋_GB2312" w:hAnsi="仿宋_GB2312" w:eastAsia="仿宋_GB2312" w:cs="仿宋_GB2312"/>
          <w:kern w:val="0"/>
          <w:sz w:val="32"/>
          <w:szCs w:val="32"/>
        </w:rPr>
      </w:pPr>
    </w:p>
    <w:p w14:paraId="6182C2F4">
      <w:pPr>
        <w:ind w:firstLine="480" w:firstLineChars="150"/>
        <w:rPr>
          <w:rFonts w:hint="eastAsia" w:ascii="仿宋_GB2312" w:hAnsi="仿宋_GB2312" w:eastAsia="仿宋_GB2312" w:cs="仿宋_GB2312"/>
          <w:kern w:val="0"/>
          <w:sz w:val="32"/>
          <w:szCs w:val="32"/>
        </w:rPr>
      </w:pPr>
    </w:p>
    <w:p w14:paraId="707DF82F">
      <w:pPr>
        <w:ind w:firstLine="480" w:firstLineChars="150"/>
        <w:rPr>
          <w:rFonts w:hint="eastAsia" w:ascii="仿宋_GB2312" w:hAnsi="仿宋_GB2312" w:eastAsia="仿宋_GB2312" w:cs="仿宋_GB2312"/>
          <w:kern w:val="0"/>
          <w:sz w:val="32"/>
          <w:szCs w:val="32"/>
        </w:rPr>
      </w:pPr>
    </w:p>
    <w:p w14:paraId="2BA71258">
      <w:pPr>
        <w:ind w:firstLine="480" w:firstLineChars="150"/>
        <w:rPr>
          <w:rFonts w:hint="eastAsia" w:ascii="仿宋_GB2312" w:hAnsi="仿宋_GB2312" w:eastAsia="仿宋_GB2312" w:cs="仿宋_GB2312"/>
          <w:kern w:val="0"/>
          <w:sz w:val="32"/>
          <w:szCs w:val="32"/>
        </w:rPr>
      </w:pPr>
    </w:p>
    <w:p w14:paraId="437789C4">
      <w:pPr>
        <w:ind w:firstLine="480" w:firstLineChars="150"/>
        <w:rPr>
          <w:rFonts w:hint="eastAsia" w:ascii="仿宋_GB2312" w:hAnsi="仿宋_GB2312" w:eastAsia="仿宋_GB2312" w:cs="仿宋_GB2312"/>
          <w:kern w:val="0"/>
          <w:sz w:val="32"/>
          <w:szCs w:val="32"/>
        </w:rPr>
      </w:pPr>
    </w:p>
    <w:p w14:paraId="5BED0F33">
      <w:pPr>
        <w:ind w:firstLine="480" w:firstLineChars="150"/>
        <w:rPr>
          <w:rFonts w:hint="eastAsia" w:ascii="仿宋_GB2312" w:hAnsi="仿宋_GB2312" w:eastAsia="仿宋_GB2312" w:cs="仿宋_GB2312"/>
          <w:kern w:val="0"/>
          <w:sz w:val="32"/>
          <w:szCs w:val="32"/>
        </w:rPr>
      </w:pPr>
    </w:p>
    <w:p w14:paraId="306D000E">
      <w:pPr>
        <w:ind w:firstLine="480" w:firstLineChars="150"/>
        <w:rPr>
          <w:rFonts w:hint="eastAsia" w:ascii="仿宋_GB2312" w:hAnsi="仿宋_GB2312" w:eastAsia="仿宋_GB2312" w:cs="仿宋_GB2312"/>
          <w:kern w:val="0"/>
          <w:sz w:val="32"/>
          <w:szCs w:val="32"/>
        </w:rPr>
      </w:pPr>
    </w:p>
    <w:tbl>
      <w:tblPr>
        <w:tblStyle w:val="4"/>
        <w:tblW w:w="8340" w:type="dxa"/>
        <w:tblInd w:w="93" w:type="dxa"/>
        <w:tblLayout w:type="fixed"/>
        <w:tblCellMar>
          <w:top w:w="0" w:type="dxa"/>
          <w:left w:w="108" w:type="dxa"/>
          <w:bottom w:w="0" w:type="dxa"/>
          <w:right w:w="108" w:type="dxa"/>
        </w:tblCellMar>
      </w:tblPr>
      <w:tblGrid>
        <w:gridCol w:w="4407"/>
        <w:gridCol w:w="2780"/>
        <w:gridCol w:w="1153"/>
      </w:tblGrid>
      <w:tr w14:paraId="229B8840">
        <w:tblPrEx>
          <w:tblCellMar>
            <w:top w:w="0" w:type="dxa"/>
            <w:left w:w="108" w:type="dxa"/>
            <w:bottom w:w="0" w:type="dxa"/>
            <w:right w:w="108" w:type="dxa"/>
          </w:tblCellMar>
        </w:tblPrEx>
        <w:trPr>
          <w:trHeight w:val="402" w:hRule="atLeast"/>
        </w:trPr>
        <w:tc>
          <w:tcPr>
            <w:tcW w:w="8340" w:type="dxa"/>
            <w:gridSpan w:val="3"/>
            <w:tcBorders>
              <w:top w:val="nil"/>
              <w:left w:val="nil"/>
              <w:bottom w:val="single" w:color="auto" w:sz="4" w:space="0"/>
              <w:right w:val="nil"/>
            </w:tcBorders>
            <w:shd w:val="clear" w:color="auto" w:fill="auto"/>
            <w:noWrap/>
            <w:vAlign w:val="center"/>
          </w:tcPr>
          <w:p w14:paraId="60A7DB79">
            <w:pPr>
              <w:widowControl/>
              <w:jc w:val="left"/>
              <w:rPr>
                <w:rFonts w:hint="eastAsia" w:ascii="宋体" w:hAnsi="宋体" w:eastAsia="宋体" w:cs="宋体"/>
                <w:b/>
                <w:bCs/>
                <w:kern w:val="0"/>
                <w:sz w:val="32"/>
                <w:szCs w:val="32"/>
              </w:rPr>
            </w:pPr>
            <w:r>
              <w:rPr>
                <w:rFonts w:hint="eastAsia" w:ascii="宋体" w:hAnsi="宋体" w:eastAsia="宋体" w:cs="宋体"/>
                <w:b/>
                <w:bCs/>
                <w:kern w:val="0"/>
                <w:sz w:val="32"/>
                <w:szCs w:val="32"/>
              </w:rPr>
              <w:t>附;   2025年基层动物防疫强制免疫补助经费发放表</w:t>
            </w:r>
          </w:p>
        </w:tc>
      </w:tr>
      <w:tr w14:paraId="744C18B2">
        <w:tblPrEx>
          <w:tblCellMar>
            <w:top w:w="0" w:type="dxa"/>
            <w:left w:w="108" w:type="dxa"/>
            <w:bottom w:w="0" w:type="dxa"/>
            <w:right w:w="108" w:type="dxa"/>
          </w:tblCellMar>
        </w:tblPrEx>
        <w:trPr>
          <w:trHeight w:val="570"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43C6CA2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乡镇名称</w:t>
            </w:r>
          </w:p>
        </w:tc>
        <w:tc>
          <w:tcPr>
            <w:tcW w:w="2780" w:type="dxa"/>
            <w:tcBorders>
              <w:top w:val="nil"/>
              <w:left w:val="nil"/>
              <w:bottom w:val="single" w:color="auto" w:sz="4" w:space="0"/>
              <w:right w:val="single" w:color="auto" w:sz="4" w:space="0"/>
            </w:tcBorders>
            <w:shd w:val="clear" w:color="auto" w:fill="auto"/>
            <w:noWrap/>
            <w:vAlign w:val="center"/>
          </w:tcPr>
          <w:p w14:paraId="3C4712C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年补贴金额</w:t>
            </w:r>
          </w:p>
        </w:tc>
        <w:tc>
          <w:tcPr>
            <w:tcW w:w="1153" w:type="dxa"/>
            <w:tcBorders>
              <w:top w:val="nil"/>
              <w:left w:val="nil"/>
              <w:bottom w:val="single" w:color="auto" w:sz="4" w:space="0"/>
              <w:right w:val="single" w:color="auto" w:sz="4" w:space="0"/>
            </w:tcBorders>
            <w:shd w:val="clear" w:color="auto" w:fill="auto"/>
            <w:noWrap/>
            <w:vAlign w:val="center"/>
          </w:tcPr>
          <w:p w14:paraId="0DA7AAB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14:paraId="278EA999">
        <w:tblPrEx>
          <w:tblCellMar>
            <w:top w:w="0" w:type="dxa"/>
            <w:left w:w="108" w:type="dxa"/>
            <w:bottom w:w="0" w:type="dxa"/>
            <w:right w:w="108" w:type="dxa"/>
          </w:tblCellMar>
        </w:tblPrEx>
        <w:trPr>
          <w:trHeight w:val="600"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265C610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虢镇站</w:t>
            </w:r>
          </w:p>
        </w:tc>
        <w:tc>
          <w:tcPr>
            <w:tcW w:w="2780" w:type="dxa"/>
            <w:tcBorders>
              <w:top w:val="nil"/>
              <w:left w:val="nil"/>
              <w:bottom w:val="single" w:color="auto" w:sz="4" w:space="0"/>
              <w:right w:val="single" w:color="auto" w:sz="4" w:space="0"/>
            </w:tcBorders>
            <w:shd w:val="clear" w:color="auto" w:fill="auto"/>
            <w:noWrap/>
            <w:vAlign w:val="center"/>
          </w:tcPr>
          <w:p w14:paraId="4103D0E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1.0万元</w:t>
            </w:r>
          </w:p>
        </w:tc>
        <w:tc>
          <w:tcPr>
            <w:tcW w:w="1153" w:type="dxa"/>
            <w:tcBorders>
              <w:top w:val="nil"/>
              <w:left w:val="nil"/>
              <w:bottom w:val="single" w:color="auto" w:sz="4" w:space="0"/>
              <w:right w:val="single" w:color="auto" w:sz="4" w:space="0"/>
            </w:tcBorders>
            <w:shd w:val="clear" w:color="auto" w:fill="auto"/>
            <w:noWrap/>
            <w:vAlign w:val="center"/>
          </w:tcPr>
          <w:p w14:paraId="4A728CC1">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0B85828B">
        <w:tblPrEx>
          <w:tblCellMar>
            <w:top w:w="0" w:type="dxa"/>
            <w:left w:w="108" w:type="dxa"/>
            <w:bottom w:w="0" w:type="dxa"/>
            <w:right w:w="108" w:type="dxa"/>
          </w:tblCellMar>
        </w:tblPrEx>
        <w:trPr>
          <w:trHeight w:val="555"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270D122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阳平镇</w:t>
            </w:r>
          </w:p>
        </w:tc>
        <w:tc>
          <w:tcPr>
            <w:tcW w:w="2780" w:type="dxa"/>
            <w:tcBorders>
              <w:top w:val="nil"/>
              <w:left w:val="nil"/>
              <w:bottom w:val="single" w:color="auto" w:sz="4" w:space="0"/>
              <w:right w:val="single" w:color="auto" w:sz="4" w:space="0"/>
            </w:tcBorders>
            <w:shd w:val="clear" w:color="auto" w:fill="auto"/>
            <w:noWrap/>
            <w:vAlign w:val="center"/>
          </w:tcPr>
          <w:p w14:paraId="3B7D0A4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1.0万元</w:t>
            </w:r>
          </w:p>
        </w:tc>
        <w:tc>
          <w:tcPr>
            <w:tcW w:w="1153" w:type="dxa"/>
            <w:tcBorders>
              <w:top w:val="nil"/>
              <w:left w:val="nil"/>
              <w:bottom w:val="single" w:color="auto" w:sz="4" w:space="0"/>
              <w:right w:val="single" w:color="auto" w:sz="4" w:space="0"/>
            </w:tcBorders>
            <w:shd w:val="clear" w:color="auto" w:fill="auto"/>
            <w:noWrap/>
            <w:vAlign w:val="center"/>
          </w:tcPr>
          <w:p w14:paraId="4700FA0C">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363C0E42">
        <w:tblPrEx>
          <w:tblCellMar>
            <w:top w:w="0" w:type="dxa"/>
            <w:left w:w="108" w:type="dxa"/>
            <w:bottom w:w="0" w:type="dxa"/>
            <w:right w:w="108" w:type="dxa"/>
          </w:tblCellMar>
        </w:tblPrEx>
        <w:trPr>
          <w:trHeight w:val="660"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1BEDBC5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慕仪镇</w:t>
            </w:r>
          </w:p>
        </w:tc>
        <w:tc>
          <w:tcPr>
            <w:tcW w:w="2780" w:type="dxa"/>
            <w:tcBorders>
              <w:top w:val="nil"/>
              <w:left w:val="nil"/>
              <w:bottom w:val="single" w:color="auto" w:sz="4" w:space="0"/>
              <w:right w:val="single" w:color="auto" w:sz="4" w:space="0"/>
            </w:tcBorders>
            <w:shd w:val="clear" w:color="auto" w:fill="auto"/>
            <w:noWrap/>
            <w:vAlign w:val="center"/>
          </w:tcPr>
          <w:p w14:paraId="0A5FA8D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1.0万元</w:t>
            </w:r>
          </w:p>
        </w:tc>
        <w:tc>
          <w:tcPr>
            <w:tcW w:w="1153" w:type="dxa"/>
            <w:tcBorders>
              <w:top w:val="nil"/>
              <w:left w:val="nil"/>
              <w:bottom w:val="single" w:color="auto" w:sz="4" w:space="0"/>
              <w:right w:val="single" w:color="auto" w:sz="4" w:space="0"/>
            </w:tcBorders>
            <w:shd w:val="clear" w:color="auto" w:fill="auto"/>
            <w:noWrap/>
            <w:vAlign w:val="center"/>
          </w:tcPr>
          <w:p w14:paraId="12DCA895">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63354499">
        <w:tblPrEx>
          <w:tblCellMar>
            <w:top w:w="0" w:type="dxa"/>
            <w:left w:w="108" w:type="dxa"/>
            <w:bottom w:w="0" w:type="dxa"/>
            <w:right w:w="108" w:type="dxa"/>
          </w:tblCellMar>
        </w:tblPrEx>
        <w:trPr>
          <w:trHeight w:val="600"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38FBC14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周原镇</w:t>
            </w:r>
          </w:p>
        </w:tc>
        <w:tc>
          <w:tcPr>
            <w:tcW w:w="2780" w:type="dxa"/>
            <w:tcBorders>
              <w:top w:val="nil"/>
              <w:left w:val="nil"/>
              <w:bottom w:val="single" w:color="auto" w:sz="4" w:space="0"/>
              <w:right w:val="single" w:color="auto" w:sz="4" w:space="0"/>
            </w:tcBorders>
            <w:shd w:val="clear" w:color="auto" w:fill="auto"/>
            <w:noWrap/>
            <w:vAlign w:val="center"/>
          </w:tcPr>
          <w:p w14:paraId="2D33CA8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1.0万元</w:t>
            </w:r>
          </w:p>
        </w:tc>
        <w:tc>
          <w:tcPr>
            <w:tcW w:w="1153" w:type="dxa"/>
            <w:tcBorders>
              <w:top w:val="nil"/>
              <w:left w:val="nil"/>
              <w:bottom w:val="single" w:color="auto" w:sz="4" w:space="0"/>
              <w:right w:val="single" w:color="auto" w:sz="4" w:space="0"/>
            </w:tcBorders>
            <w:shd w:val="clear" w:color="auto" w:fill="auto"/>
            <w:noWrap/>
            <w:vAlign w:val="center"/>
          </w:tcPr>
          <w:p w14:paraId="36EDFDFB">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3256348C">
        <w:tblPrEx>
          <w:tblCellMar>
            <w:top w:w="0" w:type="dxa"/>
            <w:left w:w="108" w:type="dxa"/>
            <w:bottom w:w="0" w:type="dxa"/>
            <w:right w:w="108" w:type="dxa"/>
          </w:tblCellMar>
        </w:tblPrEx>
        <w:trPr>
          <w:trHeight w:val="555"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0D95873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贾村镇</w:t>
            </w:r>
          </w:p>
        </w:tc>
        <w:tc>
          <w:tcPr>
            <w:tcW w:w="2780" w:type="dxa"/>
            <w:tcBorders>
              <w:top w:val="nil"/>
              <w:left w:val="nil"/>
              <w:bottom w:val="single" w:color="auto" w:sz="4" w:space="0"/>
              <w:right w:val="single" w:color="auto" w:sz="4" w:space="0"/>
            </w:tcBorders>
            <w:shd w:val="clear" w:color="auto" w:fill="auto"/>
            <w:noWrap/>
            <w:vAlign w:val="center"/>
          </w:tcPr>
          <w:p w14:paraId="3C6FFB9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0.9万元</w:t>
            </w:r>
          </w:p>
        </w:tc>
        <w:tc>
          <w:tcPr>
            <w:tcW w:w="1153" w:type="dxa"/>
            <w:tcBorders>
              <w:top w:val="nil"/>
              <w:left w:val="nil"/>
              <w:bottom w:val="single" w:color="auto" w:sz="4" w:space="0"/>
              <w:right w:val="single" w:color="auto" w:sz="4" w:space="0"/>
            </w:tcBorders>
            <w:shd w:val="clear" w:color="auto" w:fill="auto"/>
            <w:noWrap/>
            <w:vAlign w:val="center"/>
          </w:tcPr>
          <w:p w14:paraId="2F142182">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22E6AE58">
        <w:tblPrEx>
          <w:tblCellMar>
            <w:top w:w="0" w:type="dxa"/>
            <w:left w:w="108" w:type="dxa"/>
            <w:bottom w:w="0" w:type="dxa"/>
            <w:right w:w="108" w:type="dxa"/>
          </w:tblCellMar>
        </w:tblPrEx>
        <w:trPr>
          <w:trHeight w:val="645"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302A9AC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县功镇</w:t>
            </w:r>
          </w:p>
        </w:tc>
        <w:tc>
          <w:tcPr>
            <w:tcW w:w="2780" w:type="dxa"/>
            <w:tcBorders>
              <w:top w:val="nil"/>
              <w:left w:val="nil"/>
              <w:bottom w:val="single" w:color="auto" w:sz="4" w:space="0"/>
              <w:right w:val="single" w:color="auto" w:sz="4" w:space="0"/>
            </w:tcBorders>
            <w:shd w:val="clear" w:color="auto" w:fill="auto"/>
            <w:noWrap/>
            <w:vAlign w:val="center"/>
          </w:tcPr>
          <w:p w14:paraId="6D81904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1.0万元</w:t>
            </w:r>
          </w:p>
        </w:tc>
        <w:tc>
          <w:tcPr>
            <w:tcW w:w="1153" w:type="dxa"/>
            <w:tcBorders>
              <w:top w:val="nil"/>
              <w:left w:val="nil"/>
              <w:bottom w:val="single" w:color="auto" w:sz="4" w:space="0"/>
              <w:right w:val="single" w:color="auto" w:sz="4" w:space="0"/>
            </w:tcBorders>
            <w:shd w:val="clear" w:color="auto" w:fill="auto"/>
            <w:noWrap/>
            <w:vAlign w:val="center"/>
          </w:tcPr>
          <w:p w14:paraId="1E89AE0B">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10C3BB83">
        <w:tblPrEx>
          <w:tblCellMar>
            <w:top w:w="0" w:type="dxa"/>
            <w:left w:w="108" w:type="dxa"/>
            <w:bottom w:w="0" w:type="dxa"/>
            <w:right w:w="108" w:type="dxa"/>
          </w:tblCellMar>
        </w:tblPrEx>
        <w:trPr>
          <w:trHeight w:val="585"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06BB315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新街镇</w:t>
            </w:r>
          </w:p>
        </w:tc>
        <w:tc>
          <w:tcPr>
            <w:tcW w:w="2780" w:type="dxa"/>
            <w:tcBorders>
              <w:top w:val="nil"/>
              <w:left w:val="nil"/>
              <w:bottom w:val="single" w:color="auto" w:sz="4" w:space="0"/>
              <w:right w:val="single" w:color="auto" w:sz="4" w:space="0"/>
            </w:tcBorders>
            <w:shd w:val="clear" w:color="auto" w:fill="auto"/>
            <w:noWrap/>
            <w:vAlign w:val="center"/>
          </w:tcPr>
          <w:p w14:paraId="5660F2D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0.8万元</w:t>
            </w:r>
          </w:p>
        </w:tc>
        <w:tc>
          <w:tcPr>
            <w:tcW w:w="1153" w:type="dxa"/>
            <w:tcBorders>
              <w:top w:val="nil"/>
              <w:left w:val="nil"/>
              <w:bottom w:val="single" w:color="auto" w:sz="4" w:space="0"/>
              <w:right w:val="single" w:color="auto" w:sz="4" w:space="0"/>
            </w:tcBorders>
            <w:shd w:val="clear" w:color="auto" w:fill="auto"/>
            <w:noWrap/>
            <w:vAlign w:val="center"/>
          </w:tcPr>
          <w:p w14:paraId="6050A480">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27ABEC3B">
        <w:tblPrEx>
          <w:tblCellMar>
            <w:top w:w="0" w:type="dxa"/>
            <w:left w:w="108" w:type="dxa"/>
            <w:bottom w:w="0" w:type="dxa"/>
            <w:right w:w="108" w:type="dxa"/>
          </w:tblCellMar>
        </w:tblPrEx>
        <w:trPr>
          <w:trHeight w:val="555"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3FFD517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坪头镇</w:t>
            </w:r>
          </w:p>
        </w:tc>
        <w:tc>
          <w:tcPr>
            <w:tcW w:w="2780" w:type="dxa"/>
            <w:tcBorders>
              <w:top w:val="nil"/>
              <w:left w:val="nil"/>
              <w:bottom w:val="single" w:color="auto" w:sz="4" w:space="0"/>
              <w:right w:val="single" w:color="auto" w:sz="4" w:space="0"/>
            </w:tcBorders>
            <w:shd w:val="clear" w:color="auto" w:fill="auto"/>
            <w:noWrap/>
            <w:vAlign w:val="center"/>
          </w:tcPr>
          <w:p w14:paraId="742B9AB2">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1.0万元</w:t>
            </w:r>
          </w:p>
        </w:tc>
        <w:tc>
          <w:tcPr>
            <w:tcW w:w="1153" w:type="dxa"/>
            <w:tcBorders>
              <w:top w:val="nil"/>
              <w:left w:val="nil"/>
              <w:bottom w:val="single" w:color="auto" w:sz="4" w:space="0"/>
              <w:right w:val="single" w:color="auto" w:sz="4" w:space="0"/>
            </w:tcBorders>
            <w:shd w:val="clear" w:color="auto" w:fill="auto"/>
            <w:noWrap/>
            <w:vAlign w:val="center"/>
          </w:tcPr>
          <w:p w14:paraId="47DA95A6">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7F2DEB08">
        <w:tblPrEx>
          <w:tblCellMar>
            <w:top w:w="0" w:type="dxa"/>
            <w:left w:w="108" w:type="dxa"/>
            <w:bottom w:w="0" w:type="dxa"/>
            <w:right w:w="108" w:type="dxa"/>
          </w:tblCellMar>
        </w:tblPrEx>
        <w:trPr>
          <w:trHeight w:val="495"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09924EA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香泉镇</w:t>
            </w:r>
          </w:p>
        </w:tc>
        <w:tc>
          <w:tcPr>
            <w:tcW w:w="2780" w:type="dxa"/>
            <w:tcBorders>
              <w:top w:val="nil"/>
              <w:left w:val="nil"/>
              <w:bottom w:val="single" w:color="auto" w:sz="4" w:space="0"/>
              <w:right w:val="single" w:color="auto" w:sz="4" w:space="0"/>
            </w:tcBorders>
            <w:shd w:val="clear" w:color="auto" w:fill="auto"/>
            <w:noWrap/>
            <w:vAlign w:val="center"/>
          </w:tcPr>
          <w:p w14:paraId="4CDF3CF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0.7万元</w:t>
            </w:r>
          </w:p>
        </w:tc>
        <w:tc>
          <w:tcPr>
            <w:tcW w:w="1153" w:type="dxa"/>
            <w:tcBorders>
              <w:top w:val="nil"/>
              <w:left w:val="nil"/>
              <w:bottom w:val="single" w:color="auto" w:sz="4" w:space="0"/>
              <w:right w:val="single" w:color="auto" w:sz="4" w:space="0"/>
            </w:tcBorders>
            <w:shd w:val="clear" w:color="auto" w:fill="auto"/>
            <w:noWrap/>
            <w:vAlign w:val="center"/>
          </w:tcPr>
          <w:p w14:paraId="2B33D98E">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1C2D4C62">
        <w:tblPrEx>
          <w:tblCellMar>
            <w:top w:w="0" w:type="dxa"/>
            <w:left w:w="108" w:type="dxa"/>
            <w:bottom w:w="0" w:type="dxa"/>
            <w:right w:w="108" w:type="dxa"/>
          </w:tblCellMar>
        </w:tblPrEx>
        <w:trPr>
          <w:trHeight w:val="630"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1F9E98E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赤沙镇</w:t>
            </w:r>
          </w:p>
        </w:tc>
        <w:tc>
          <w:tcPr>
            <w:tcW w:w="2780" w:type="dxa"/>
            <w:tcBorders>
              <w:top w:val="nil"/>
              <w:left w:val="nil"/>
              <w:bottom w:val="single" w:color="auto" w:sz="4" w:space="0"/>
              <w:right w:val="single" w:color="auto" w:sz="4" w:space="0"/>
            </w:tcBorders>
            <w:shd w:val="clear" w:color="auto" w:fill="auto"/>
            <w:noWrap/>
            <w:vAlign w:val="center"/>
          </w:tcPr>
          <w:p w14:paraId="225DA23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0.7万元</w:t>
            </w:r>
          </w:p>
        </w:tc>
        <w:tc>
          <w:tcPr>
            <w:tcW w:w="1153" w:type="dxa"/>
            <w:tcBorders>
              <w:top w:val="nil"/>
              <w:left w:val="nil"/>
              <w:bottom w:val="single" w:color="auto" w:sz="4" w:space="0"/>
              <w:right w:val="single" w:color="auto" w:sz="4" w:space="0"/>
            </w:tcBorders>
            <w:shd w:val="clear" w:color="auto" w:fill="auto"/>
            <w:noWrap/>
            <w:vAlign w:val="center"/>
          </w:tcPr>
          <w:p w14:paraId="7D2554A6">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13111638">
        <w:tblPrEx>
          <w:tblCellMar>
            <w:top w:w="0" w:type="dxa"/>
            <w:left w:w="108" w:type="dxa"/>
            <w:bottom w:w="0" w:type="dxa"/>
            <w:right w:w="108" w:type="dxa"/>
          </w:tblCellMar>
        </w:tblPrEx>
        <w:trPr>
          <w:trHeight w:val="645"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10D80A9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拓石镇</w:t>
            </w:r>
          </w:p>
        </w:tc>
        <w:tc>
          <w:tcPr>
            <w:tcW w:w="2780" w:type="dxa"/>
            <w:tcBorders>
              <w:top w:val="nil"/>
              <w:left w:val="nil"/>
              <w:bottom w:val="single" w:color="auto" w:sz="4" w:space="0"/>
              <w:right w:val="single" w:color="auto" w:sz="4" w:space="0"/>
            </w:tcBorders>
            <w:shd w:val="clear" w:color="auto" w:fill="auto"/>
            <w:noWrap/>
            <w:vAlign w:val="center"/>
          </w:tcPr>
          <w:p w14:paraId="4B1C200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0.7万元</w:t>
            </w:r>
          </w:p>
        </w:tc>
        <w:tc>
          <w:tcPr>
            <w:tcW w:w="1153" w:type="dxa"/>
            <w:tcBorders>
              <w:top w:val="nil"/>
              <w:left w:val="nil"/>
              <w:bottom w:val="single" w:color="auto" w:sz="4" w:space="0"/>
              <w:right w:val="single" w:color="auto" w:sz="4" w:space="0"/>
            </w:tcBorders>
            <w:shd w:val="clear" w:color="auto" w:fill="auto"/>
            <w:noWrap/>
            <w:vAlign w:val="center"/>
          </w:tcPr>
          <w:p w14:paraId="11054ABE">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48CD4C34">
        <w:tblPrEx>
          <w:tblCellMar>
            <w:top w:w="0" w:type="dxa"/>
            <w:left w:w="108" w:type="dxa"/>
            <w:bottom w:w="0" w:type="dxa"/>
            <w:right w:w="108" w:type="dxa"/>
          </w:tblCellMar>
        </w:tblPrEx>
        <w:trPr>
          <w:trHeight w:val="600"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118E28D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凤阁岭镇</w:t>
            </w:r>
          </w:p>
        </w:tc>
        <w:tc>
          <w:tcPr>
            <w:tcW w:w="2780" w:type="dxa"/>
            <w:tcBorders>
              <w:top w:val="nil"/>
              <w:left w:val="nil"/>
              <w:bottom w:val="single" w:color="auto" w:sz="4" w:space="0"/>
              <w:right w:val="single" w:color="auto" w:sz="4" w:space="0"/>
            </w:tcBorders>
            <w:shd w:val="clear" w:color="auto" w:fill="auto"/>
            <w:noWrap/>
            <w:vAlign w:val="center"/>
          </w:tcPr>
          <w:p w14:paraId="15C20A1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0.7万元</w:t>
            </w:r>
          </w:p>
        </w:tc>
        <w:tc>
          <w:tcPr>
            <w:tcW w:w="1153" w:type="dxa"/>
            <w:tcBorders>
              <w:top w:val="nil"/>
              <w:left w:val="nil"/>
              <w:bottom w:val="single" w:color="auto" w:sz="4" w:space="0"/>
              <w:right w:val="single" w:color="auto" w:sz="4" w:space="0"/>
            </w:tcBorders>
            <w:shd w:val="clear" w:color="auto" w:fill="auto"/>
            <w:noWrap/>
            <w:vAlign w:val="center"/>
          </w:tcPr>
          <w:p w14:paraId="500AC8FC">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74F4F0D7">
        <w:tblPrEx>
          <w:tblCellMar>
            <w:top w:w="0" w:type="dxa"/>
            <w:left w:w="108" w:type="dxa"/>
            <w:bottom w:w="0" w:type="dxa"/>
            <w:right w:w="108" w:type="dxa"/>
          </w:tblCellMar>
        </w:tblPrEx>
        <w:trPr>
          <w:trHeight w:val="600"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5645F7E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千河镇</w:t>
            </w:r>
          </w:p>
        </w:tc>
        <w:tc>
          <w:tcPr>
            <w:tcW w:w="2780" w:type="dxa"/>
            <w:tcBorders>
              <w:top w:val="nil"/>
              <w:left w:val="nil"/>
              <w:bottom w:val="single" w:color="auto" w:sz="4" w:space="0"/>
              <w:right w:val="single" w:color="auto" w:sz="4" w:space="0"/>
            </w:tcBorders>
            <w:shd w:val="clear" w:color="auto" w:fill="auto"/>
            <w:noWrap/>
            <w:vAlign w:val="center"/>
          </w:tcPr>
          <w:p w14:paraId="5544F6F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1.0万元</w:t>
            </w:r>
          </w:p>
        </w:tc>
        <w:tc>
          <w:tcPr>
            <w:tcW w:w="1153" w:type="dxa"/>
            <w:tcBorders>
              <w:top w:val="nil"/>
              <w:left w:val="nil"/>
              <w:bottom w:val="single" w:color="auto" w:sz="4" w:space="0"/>
              <w:right w:val="single" w:color="auto" w:sz="4" w:space="0"/>
            </w:tcBorders>
            <w:shd w:val="clear" w:color="auto" w:fill="auto"/>
            <w:noWrap/>
            <w:vAlign w:val="center"/>
          </w:tcPr>
          <w:p w14:paraId="51C45B71">
            <w:pPr>
              <w:widowControl/>
              <w:jc w:val="left"/>
              <w:rPr>
                <w:rFonts w:hint="eastAsia" w:ascii="宋体" w:hAnsi="宋体" w:eastAsia="宋体" w:cs="宋体"/>
                <w:kern w:val="0"/>
                <w:sz w:val="24"/>
                <w:szCs w:val="24"/>
              </w:rPr>
            </w:pPr>
          </w:p>
        </w:tc>
      </w:tr>
      <w:tr w14:paraId="35C076A9">
        <w:tblPrEx>
          <w:tblCellMar>
            <w:top w:w="0" w:type="dxa"/>
            <w:left w:w="108" w:type="dxa"/>
            <w:bottom w:w="0" w:type="dxa"/>
            <w:right w:w="108" w:type="dxa"/>
          </w:tblCellMar>
        </w:tblPrEx>
        <w:trPr>
          <w:trHeight w:val="600"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0B008E0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区畜牧站</w:t>
            </w:r>
          </w:p>
        </w:tc>
        <w:tc>
          <w:tcPr>
            <w:tcW w:w="2780" w:type="dxa"/>
            <w:tcBorders>
              <w:top w:val="nil"/>
              <w:left w:val="nil"/>
              <w:bottom w:val="single" w:color="auto" w:sz="4" w:space="0"/>
              <w:right w:val="single" w:color="auto" w:sz="4" w:space="0"/>
            </w:tcBorders>
            <w:shd w:val="clear" w:color="auto" w:fill="auto"/>
            <w:noWrap/>
            <w:vAlign w:val="center"/>
          </w:tcPr>
          <w:p w14:paraId="2F54F6D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9.5万元</w:t>
            </w:r>
          </w:p>
        </w:tc>
        <w:tc>
          <w:tcPr>
            <w:tcW w:w="1153" w:type="dxa"/>
            <w:tcBorders>
              <w:top w:val="nil"/>
              <w:left w:val="nil"/>
              <w:bottom w:val="single" w:color="auto" w:sz="4" w:space="0"/>
              <w:right w:val="single" w:color="auto" w:sz="4" w:space="0"/>
            </w:tcBorders>
            <w:shd w:val="clear" w:color="auto" w:fill="auto"/>
            <w:noWrap/>
            <w:vAlign w:val="center"/>
          </w:tcPr>
          <w:p w14:paraId="698F33BB">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14:paraId="34B43A93">
        <w:tblPrEx>
          <w:tblCellMar>
            <w:top w:w="0" w:type="dxa"/>
            <w:left w:w="108" w:type="dxa"/>
            <w:bottom w:w="0" w:type="dxa"/>
            <w:right w:w="108" w:type="dxa"/>
          </w:tblCellMar>
        </w:tblPrEx>
        <w:trPr>
          <w:trHeight w:val="570" w:hRule="atLeast"/>
        </w:trPr>
        <w:tc>
          <w:tcPr>
            <w:tcW w:w="4407" w:type="dxa"/>
            <w:tcBorders>
              <w:top w:val="nil"/>
              <w:left w:val="single" w:color="auto" w:sz="4" w:space="0"/>
              <w:bottom w:val="single" w:color="auto" w:sz="4" w:space="0"/>
              <w:right w:val="single" w:color="auto" w:sz="4" w:space="0"/>
            </w:tcBorders>
            <w:shd w:val="clear" w:color="auto" w:fill="auto"/>
            <w:noWrap/>
            <w:vAlign w:val="center"/>
          </w:tcPr>
          <w:p w14:paraId="3394F02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2780" w:type="dxa"/>
            <w:tcBorders>
              <w:top w:val="nil"/>
              <w:left w:val="nil"/>
              <w:bottom w:val="single" w:color="auto" w:sz="4" w:space="0"/>
              <w:right w:val="single" w:color="auto" w:sz="4" w:space="0"/>
            </w:tcBorders>
            <w:shd w:val="clear" w:color="auto" w:fill="auto"/>
            <w:noWrap/>
            <w:vAlign w:val="center"/>
          </w:tcPr>
          <w:p w14:paraId="73CF1D2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21.0万元</w:t>
            </w:r>
          </w:p>
        </w:tc>
        <w:tc>
          <w:tcPr>
            <w:tcW w:w="1153" w:type="dxa"/>
            <w:tcBorders>
              <w:top w:val="nil"/>
              <w:left w:val="nil"/>
              <w:bottom w:val="single" w:color="auto" w:sz="4" w:space="0"/>
              <w:right w:val="single" w:color="auto" w:sz="4" w:space="0"/>
            </w:tcBorders>
            <w:shd w:val="clear" w:color="auto" w:fill="auto"/>
            <w:noWrap/>
            <w:vAlign w:val="center"/>
          </w:tcPr>
          <w:p w14:paraId="6B9E5874">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w:t>
            </w:r>
          </w:p>
        </w:tc>
      </w:tr>
    </w:tbl>
    <w:p w14:paraId="0137EA8E">
      <w:pPr>
        <w:ind w:firstLine="480" w:firstLineChars="150"/>
        <w:rPr>
          <w:rFonts w:hint="eastAsia" w:ascii="仿宋_GB2312" w:hAnsi="仿宋_GB2312" w:eastAsia="仿宋_GB2312" w:cs="仿宋_GB2312"/>
          <w:kern w:val="0"/>
          <w:sz w:val="32"/>
          <w:szCs w:val="32"/>
        </w:rPr>
      </w:pPr>
    </w:p>
    <w:p w14:paraId="1C65AEFB">
      <w:pPr>
        <w:spacing w:line="560" w:lineRule="exact"/>
        <w:rPr>
          <w:rFonts w:hint="eastAsia" w:ascii="仿宋_GB2312" w:hAnsi="仿宋" w:eastAsia="仿宋_GB2312" w:cs="仿宋_GB2312"/>
          <w:kern w:val="0"/>
          <w:sz w:val="32"/>
          <w:szCs w:val="32"/>
        </w:rPr>
      </w:pPr>
    </w:p>
    <w:p w14:paraId="37A07FBD">
      <w:pPr>
        <w:spacing w:line="560" w:lineRule="exact"/>
        <w:jc w:val="center"/>
        <w:rPr>
          <w:rFonts w:hint="eastAsia" w:ascii="仿宋_GB2312" w:hAnsi="仿宋" w:eastAsia="仿宋_GB2312" w:cs="仿宋_GB2312"/>
          <w:kern w:val="0"/>
          <w:sz w:val="32"/>
          <w:szCs w:val="32"/>
        </w:rPr>
      </w:pPr>
      <w:r>
        <w:rPr>
          <w:rFonts w:hint="eastAsia" w:ascii="仿宋_GB2312" w:hAnsi="仿宋" w:eastAsia="仿宋_GB2312" w:cs="仿宋_GB2312"/>
          <w:kern w:val="0"/>
          <w:sz w:val="32"/>
          <w:szCs w:val="32"/>
        </w:rPr>
        <w:t>陈仓区2025年中央动物防疫补助项目绩效目标表</w:t>
      </w:r>
    </w:p>
    <w:p w14:paraId="23515472">
      <w:pPr>
        <w:spacing w:line="560" w:lineRule="exact"/>
        <w:jc w:val="center"/>
        <w:rPr>
          <w:rFonts w:hint="eastAsia" w:ascii="仿宋_GB2312" w:hAnsi="仿宋" w:eastAsia="仿宋_GB2312" w:cs="仿宋_GB2312"/>
          <w:kern w:val="0"/>
          <w:sz w:val="32"/>
          <w:szCs w:val="32"/>
        </w:rPr>
      </w:pPr>
      <w:r>
        <w:rPr>
          <w:rFonts w:hint="eastAsia" w:ascii="仿宋_GB2312" w:hAnsi="仿宋" w:eastAsia="仿宋_GB2312" w:cs="仿宋_GB2312"/>
          <w:kern w:val="0"/>
          <w:sz w:val="32"/>
          <w:szCs w:val="32"/>
        </w:rPr>
        <w:t>（2025年度）</w:t>
      </w:r>
    </w:p>
    <w:tbl>
      <w:tblPr>
        <w:tblStyle w:val="5"/>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8"/>
        <w:gridCol w:w="851"/>
        <w:gridCol w:w="709"/>
        <w:gridCol w:w="567"/>
        <w:gridCol w:w="1555"/>
        <w:gridCol w:w="1983"/>
        <w:gridCol w:w="148"/>
        <w:gridCol w:w="561"/>
        <w:gridCol w:w="1423"/>
      </w:tblGrid>
      <w:tr w14:paraId="6D0C76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3" w:hRule="atLeast"/>
        </w:trPr>
        <w:tc>
          <w:tcPr>
            <w:tcW w:w="2518"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2216AA4">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专项资金名称</w:t>
            </w:r>
          </w:p>
        </w:tc>
        <w:tc>
          <w:tcPr>
            <w:tcW w:w="6237" w:type="dxa"/>
            <w:gridSpan w:val="6"/>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704C528">
            <w:pPr>
              <w:spacing w:line="560" w:lineRule="exact"/>
              <w:jc w:val="center"/>
              <w:rPr>
                <w:rFonts w:hint="eastAsia" w:ascii="仿宋_GB2312" w:hAnsi="仿宋" w:eastAsia="仿宋_GB2312" w:cs="仿宋_GB2312"/>
                <w:kern w:val="0"/>
                <w:szCs w:val="21"/>
              </w:rPr>
            </w:pPr>
            <w:r>
              <w:rPr>
                <w:rFonts w:hint="eastAsia" w:ascii="仿宋_GB2312" w:hAnsi="黑体" w:eastAsia="仿宋_GB2312" w:cs="仿宋_GB2312"/>
                <w:kern w:val="0"/>
                <w:szCs w:val="21"/>
              </w:rPr>
              <w:t>2025年农业防灾减灾和水利救灾资金动物防疫补助项目</w:t>
            </w:r>
          </w:p>
        </w:tc>
      </w:tr>
      <w:tr w14:paraId="76A6525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6" w:hRule="atLeast"/>
        </w:trPr>
        <w:tc>
          <w:tcPr>
            <w:tcW w:w="2518"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22A538F">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市级主管部门</w:t>
            </w:r>
          </w:p>
        </w:tc>
        <w:tc>
          <w:tcPr>
            <w:tcW w:w="6237" w:type="dxa"/>
            <w:gridSpan w:val="6"/>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CD446A0">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市财政局、市农业农村局</w:t>
            </w:r>
          </w:p>
        </w:tc>
      </w:tr>
      <w:tr w14:paraId="5AA3A61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3" w:hRule="atLeast"/>
        </w:trPr>
        <w:tc>
          <w:tcPr>
            <w:tcW w:w="2518"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5B2F63A">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县级财政部门</w:t>
            </w:r>
          </w:p>
        </w:tc>
        <w:tc>
          <w:tcPr>
            <w:tcW w:w="2122"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D9D08AE">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区财政局</w:t>
            </w:r>
          </w:p>
        </w:tc>
        <w:tc>
          <w:tcPr>
            <w:tcW w:w="1983" w:type="dxa"/>
            <w:tcBorders>
              <w:top w:val="single" w:color="000000" w:themeColor="text1" w:sz="4" w:space="0"/>
              <w:left w:val="single" w:color="auto" w:sz="4" w:space="0"/>
              <w:bottom w:val="single" w:color="000000" w:themeColor="text1" w:sz="4" w:space="0"/>
              <w:right w:val="single" w:color="auto" w:sz="4" w:space="0"/>
            </w:tcBorders>
            <w:vAlign w:val="center"/>
          </w:tcPr>
          <w:p w14:paraId="2C62CD7C">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县级农业部门</w:t>
            </w:r>
          </w:p>
        </w:tc>
        <w:tc>
          <w:tcPr>
            <w:tcW w:w="2132"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571D274">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区农业农村局</w:t>
            </w:r>
          </w:p>
        </w:tc>
      </w:tr>
      <w:tr w14:paraId="4B2596E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5" w:hRule="atLeast"/>
        </w:trPr>
        <w:tc>
          <w:tcPr>
            <w:tcW w:w="958"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328E860">
            <w:pPr>
              <w:adjustRightInd w:val="0"/>
              <w:snapToGrid w:val="0"/>
              <w:spacing w:line="40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资金情况（万元）</w:t>
            </w:r>
          </w:p>
        </w:tc>
        <w:tc>
          <w:tcPr>
            <w:tcW w:w="156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367810A">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年度资金总额</w:t>
            </w:r>
          </w:p>
        </w:tc>
        <w:tc>
          <w:tcPr>
            <w:tcW w:w="6237" w:type="dxa"/>
            <w:gridSpan w:val="6"/>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4CE587E">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130.22</w:t>
            </w:r>
          </w:p>
        </w:tc>
      </w:tr>
      <w:tr w14:paraId="34E3A64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C1B713C">
            <w:pPr>
              <w:rPr>
                <w:rFonts w:hint="eastAsia" w:ascii="仿宋_GB2312" w:hAnsi="黑体" w:eastAsia="仿宋_GB2312" w:cs="仿宋_GB2312"/>
                <w:kern w:val="0"/>
                <w:szCs w:val="21"/>
              </w:rPr>
            </w:pPr>
          </w:p>
        </w:tc>
        <w:tc>
          <w:tcPr>
            <w:tcW w:w="156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3D41005">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其中财政拨款</w:t>
            </w:r>
          </w:p>
        </w:tc>
        <w:tc>
          <w:tcPr>
            <w:tcW w:w="6237" w:type="dxa"/>
            <w:gridSpan w:val="6"/>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9776828">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130.22</w:t>
            </w:r>
          </w:p>
        </w:tc>
      </w:tr>
      <w:tr w14:paraId="12B2EB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C6F43F8">
            <w:pPr>
              <w:rPr>
                <w:rFonts w:hint="eastAsia" w:ascii="仿宋_GB2312" w:hAnsi="黑体" w:eastAsia="仿宋_GB2312" w:cs="仿宋_GB2312"/>
                <w:kern w:val="0"/>
                <w:szCs w:val="21"/>
              </w:rPr>
            </w:pPr>
          </w:p>
        </w:tc>
        <w:tc>
          <w:tcPr>
            <w:tcW w:w="156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38F47D3">
            <w:pPr>
              <w:adjustRightInd w:val="0"/>
              <w:snapToGrid w:val="0"/>
              <w:spacing w:line="400" w:lineRule="exact"/>
              <w:jc w:val="center"/>
              <w:rPr>
                <w:rFonts w:hint="eastAsia" w:ascii="仿宋_GB2312" w:hAnsi="仿宋" w:eastAsia="仿宋_GB2312" w:cs="仿宋_GB2312"/>
                <w:kern w:val="0"/>
                <w:szCs w:val="21"/>
              </w:rPr>
            </w:pPr>
            <w:r>
              <w:rPr>
                <w:rFonts w:hint="eastAsia" w:ascii="仿宋_GB2312" w:hAnsi="仿宋" w:eastAsia="仿宋_GB2312" w:cs="仿宋_GB2312"/>
                <w:kern w:val="0"/>
                <w:szCs w:val="21"/>
              </w:rPr>
              <w:t>其他资金</w:t>
            </w:r>
          </w:p>
        </w:tc>
        <w:tc>
          <w:tcPr>
            <w:tcW w:w="6237" w:type="dxa"/>
            <w:gridSpan w:val="6"/>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AC35579">
            <w:pPr>
              <w:adjustRightInd w:val="0"/>
              <w:snapToGrid w:val="0"/>
              <w:spacing w:line="400" w:lineRule="exact"/>
              <w:jc w:val="center"/>
              <w:rPr>
                <w:rFonts w:hint="eastAsia" w:ascii="仿宋" w:hAnsi="仿宋" w:eastAsia="仿宋" w:cs="仿宋_GB2312"/>
                <w:kern w:val="0"/>
                <w:szCs w:val="21"/>
              </w:rPr>
            </w:pPr>
          </w:p>
        </w:tc>
      </w:tr>
      <w:tr w14:paraId="02BC536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500B66E">
            <w:pPr>
              <w:adjustRightInd w:val="0"/>
              <w:snapToGrid w:val="0"/>
              <w:spacing w:line="40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年度总体目标</w:t>
            </w:r>
          </w:p>
        </w:tc>
        <w:tc>
          <w:tcPr>
            <w:tcW w:w="7797" w:type="dxa"/>
            <w:gridSpan w:val="8"/>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3763979E">
            <w:pPr>
              <w:adjustRightInd w:val="0"/>
              <w:snapToGrid w:val="0"/>
              <w:spacing w:line="400" w:lineRule="exact"/>
              <w:rPr>
                <w:rFonts w:hint="eastAsia" w:ascii="仿宋_GB2312" w:hAnsi="黑体" w:eastAsia="仿宋_GB2312" w:cs="仿宋_GB2312"/>
                <w:kern w:val="0"/>
                <w:szCs w:val="21"/>
              </w:rPr>
            </w:pPr>
            <w:r>
              <w:rPr>
                <w:rFonts w:hint="eastAsia" w:ascii="仿宋_GB2312" w:hAnsi="黑体" w:eastAsia="仿宋_GB2312" w:cs="仿宋_GB2312"/>
                <w:kern w:val="0"/>
                <w:szCs w:val="21"/>
              </w:rPr>
              <w:t>按照相关规划或实施方案，根据任务清单并结合地方实际，开展重大动物疫病和重点人畜共患病防控，组织强制免疫、</w:t>
            </w:r>
            <w:r>
              <w:rPr>
                <w:rFonts w:hint="eastAsia" w:ascii="仿宋_GB2312" w:hAnsi="仿宋_GB2312" w:eastAsia="仿宋_GB2312" w:cs="仿宋_GB2312"/>
                <w:kern w:val="0"/>
                <w:szCs w:val="21"/>
              </w:rPr>
              <w:t>强制免疫“先打后补”疫苗补助</w:t>
            </w:r>
            <w:r>
              <w:rPr>
                <w:rFonts w:hint="eastAsia" w:ascii="仿宋_GB2312" w:hAnsi="黑体" w:eastAsia="仿宋_GB2312" w:cs="仿宋_GB2312"/>
                <w:kern w:val="0"/>
                <w:szCs w:val="21"/>
              </w:rPr>
              <w:t>、强制扑杀和养殖环节无害化处理，强化动物疫病监测预警，确保动物及动物源性产品健康，保障畜牧业健康稳定发展和公共卫生安全。</w:t>
            </w:r>
          </w:p>
        </w:tc>
      </w:tr>
      <w:tr w14:paraId="7DF796E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95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DD86971">
            <w:pPr>
              <w:adjustRightInd w:val="0"/>
              <w:snapToGrid w:val="0"/>
              <w:spacing w:line="320" w:lineRule="exact"/>
              <w:jc w:val="center"/>
              <w:rPr>
                <w:rFonts w:hint="eastAsia" w:ascii="方正小标宋简体" w:hAnsi="黑体" w:eastAsia="方正小标宋简体" w:cs="仿宋_GB2312"/>
                <w:kern w:val="0"/>
                <w:szCs w:val="21"/>
              </w:rPr>
            </w:pPr>
          </w:p>
        </w:tc>
        <w:tc>
          <w:tcPr>
            <w:tcW w:w="8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251D16B">
            <w:pPr>
              <w:adjustRightInd w:val="0"/>
              <w:snapToGrid w:val="0"/>
              <w:spacing w:line="32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一级指标</w:t>
            </w:r>
          </w:p>
        </w:tc>
        <w:tc>
          <w:tcPr>
            <w:tcW w:w="127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7DBDDA5">
            <w:pPr>
              <w:adjustRightInd w:val="0"/>
              <w:snapToGrid w:val="0"/>
              <w:spacing w:line="32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二级指标</w:t>
            </w: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8D2F2BC">
            <w:pPr>
              <w:adjustRightInd w:val="0"/>
              <w:snapToGrid w:val="0"/>
              <w:spacing w:line="32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三级指标</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FB6F070">
            <w:pPr>
              <w:adjustRightInd w:val="0"/>
              <w:snapToGrid w:val="0"/>
              <w:spacing w:line="320" w:lineRule="exact"/>
              <w:jc w:val="center"/>
              <w:rPr>
                <w:rFonts w:hint="eastAsia" w:ascii="仿宋_GB2312" w:hAnsi="黑体" w:eastAsia="仿宋_GB2312" w:cs="仿宋_GB2312"/>
                <w:kern w:val="0"/>
                <w:sz w:val="24"/>
                <w:szCs w:val="24"/>
              </w:rPr>
            </w:pPr>
            <w:r>
              <w:rPr>
                <w:rFonts w:hint="eastAsia" w:ascii="仿宋_GB2312" w:hAnsi="黑体" w:eastAsia="仿宋_GB2312" w:cs="仿宋_GB2312"/>
                <w:kern w:val="0"/>
                <w:sz w:val="24"/>
                <w:szCs w:val="24"/>
              </w:rPr>
              <w:t>单位</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832BFDE">
            <w:pPr>
              <w:adjustRightInd w:val="0"/>
              <w:snapToGrid w:val="0"/>
              <w:spacing w:line="32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指标值</w:t>
            </w:r>
          </w:p>
        </w:tc>
      </w:tr>
      <w:tr w14:paraId="1D7CF98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76" w:hRule="atLeast"/>
        </w:trPr>
        <w:tc>
          <w:tcPr>
            <w:tcW w:w="958"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E658519">
            <w:pPr>
              <w:adjustRightInd w:val="0"/>
              <w:snapToGrid w:val="0"/>
              <w:spacing w:line="36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绩效指标</w:t>
            </w:r>
          </w:p>
        </w:tc>
        <w:tc>
          <w:tcPr>
            <w:tcW w:w="851"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7AFCDC0">
            <w:pPr>
              <w:adjustRightInd w:val="0"/>
              <w:snapToGrid w:val="0"/>
              <w:spacing w:line="40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产出指标</w:t>
            </w:r>
          </w:p>
        </w:tc>
        <w:tc>
          <w:tcPr>
            <w:tcW w:w="1276" w:type="dxa"/>
            <w:gridSpan w:val="2"/>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E750508">
            <w:pPr>
              <w:adjustRightInd w:val="0"/>
              <w:snapToGrid w:val="0"/>
              <w:spacing w:line="40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数量指标</w:t>
            </w: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A4EEC49">
            <w:pPr>
              <w:adjustRightInd w:val="0"/>
              <w:snapToGrid w:val="0"/>
              <w:spacing w:line="280" w:lineRule="exact"/>
              <w:rPr>
                <w:rFonts w:hint="eastAsia" w:ascii="仿宋_GB2312" w:hAnsi="黑体" w:eastAsia="仿宋_GB2312" w:cs="仿宋_GB2312"/>
                <w:kern w:val="0"/>
                <w:szCs w:val="21"/>
              </w:rPr>
            </w:pPr>
            <w:r>
              <w:rPr>
                <w:rFonts w:hint="eastAsia" w:ascii="仿宋_GB2312" w:hAnsi="黑体" w:eastAsia="仿宋_GB2312" w:cs="仿宋_GB2312"/>
                <w:kern w:val="0"/>
                <w:szCs w:val="21"/>
              </w:rPr>
              <w:t>强制免疫病种应免畜禽免疫密度</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0CB610B">
            <w:pPr>
              <w:adjustRightInd w:val="0"/>
              <w:snapToGrid w:val="0"/>
              <w:spacing w:line="400" w:lineRule="exact"/>
              <w:jc w:val="center"/>
              <w:rPr>
                <w:rFonts w:hint="eastAsia" w:ascii="仿宋_GB2312" w:hAnsi="黑体" w:eastAsia="仿宋_GB2312" w:cs="仿宋_GB2312"/>
                <w:kern w:val="0"/>
                <w:sz w:val="24"/>
                <w:szCs w:val="24"/>
              </w:rPr>
            </w:pPr>
            <w:r>
              <w:rPr>
                <w:rFonts w:hint="eastAsia" w:ascii="仿宋_GB2312" w:hAnsi="黑体" w:eastAsia="仿宋_GB2312" w:cs="仿宋_GB2312"/>
                <w:kern w:val="0"/>
                <w:sz w:val="24"/>
                <w:szCs w:val="24"/>
              </w:rPr>
              <w:t>%</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556C97F">
            <w:pPr>
              <w:adjustRightInd w:val="0"/>
              <w:snapToGrid w:val="0"/>
              <w:spacing w:line="40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90%</w:t>
            </w:r>
          </w:p>
        </w:tc>
      </w:tr>
      <w:tr w14:paraId="09BA8B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E7EB67E">
            <w:pPr>
              <w:rPr>
                <w:rFonts w:hint="eastAsia" w:ascii="仿宋_GB2312" w:hAnsi="黑体" w:eastAsia="仿宋_GB2312" w:cs="仿宋_GB2312"/>
                <w:kern w:val="0"/>
                <w:szCs w:val="21"/>
              </w:rPr>
            </w:pPr>
          </w:p>
        </w:tc>
        <w:tc>
          <w:tcPr>
            <w:tcW w:w="851"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E2BEDEB">
            <w:pPr>
              <w:rPr>
                <w:rFonts w:hint="eastAsia" w:ascii="仿宋_GB2312" w:hAnsi="黑体" w:eastAsia="仿宋_GB2312" w:cs="仿宋_GB2312"/>
                <w:kern w:val="0"/>
                <w:szCs w:val="21"/>
              </w:rPr>
            </w:pPr>
          </w:p>
        </w:tc>
        <w:tc>
          <w:tcPr>
            <w:tcW w:w="1276" w:type="dxa"/>
            <w:gridSpan w:val="2"/>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6532AA9">
            <w:pPr>
              <w:rPr>
                <w:rFonts w:hint="eastAsia" w:ascii="仿宋_GB2312" w:hAnsi="黑体" w:eastAsia="仿宋_GB2312" w:cs="仿宋_GB2312"/>
                <w:kern w:val="0"/>
                <w:szCs w:val="21"/>
              </w:rPr>
            </w:pP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F986A84">
            <w:pPr>
              <w:adjustRightInd w:val="0"/>
              <w:snapToGrid w:val="0"/>
              <w:spacing w:line="28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养殖环节病死猪无害化处理补助发放</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53B0A9F">
            <w:pPr>
              <w:adjustRightInd w:val="0"/>
              <w:snapToGrid w:val="0"/>
              <w:spacing w:line="400" w:lineRule="exact"/>
              <w:jc w:val="center"/>
              <w:rPr>
                <w:rFonts w:hint="eastAsia" w:ascii="仿宋_GB2312" w:hAnsi="黑体" w:eastAsia="仿宋_GB2312" w:cs="仿宋_GB2312"/>
                <w:kern w:val="0"/>
                <w:sz w:val="24"/>
                <w:szCs w:val="24"/>
              </w:rPr>
            </w:pPr>
            <w:r>
              <w:rPr>
                <w:rFonts w:hint="eastAsia" w:ascii="仿宋_GB2312" w:hAnsi="黑体" w:eastAsia="仿宋_GB2312" w:cs="仿宋_GB2312"/>
                <w:kern w:val="0"/>
                <w:sz w:val="24"/>
                <w:szCs w:val="24"/>
              </w:rPr>
              <w:t>头</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5131FDF">
            <w:pPr>
              <w:adjustRightInd w:val="0"/>
              <w:snapToGrid w:val="0"/>
              <w:spacing w:line="40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8632.75</w:t>
            </w:r>
          </w:p>
        </w:tc>
      </w:tr>
      <w:tr w14:paraId="4C0260F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473426F">
            <w:pPr>
              <w:rPr>
                <w:rFonts w:hint="eastAsia" w:ascii="仿宋_GB2312" w:hAnsi="黑体" w:eastAsia="仿宋_GB2312" w:cs="仿宋_GB2312"/>
                <w:kern w:val="0"/>
                <w:szCs w:val="21"/>
              </w:rPr>
            </w:pPr>
          </w:p>
        </w:tc>
        <w:tc>
          <w:tcPr>
            <w:tcW w:w="851"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4C88872">
            <w:pPr>
              <w:rPr>
                <w:rFonts w:hint="eastAsia" w:ascii="仿宋_GB2312" w:hAnsi="黑体" w:eastAsia="仿宋_GB2312" w:cs="仿宋_GB2312"/>
                <w:kern w:val="0"/>
                <w:szCs w:val="21"/>
              </w:rPr>
            </w:pPr>
          </w:p>
        </w:tc>
        <w:tc>
          <w:tcPr>
            <w:tcW w:w="1276" w:type="dxa"/>
            <w:gridSpan w:val="2"/>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C275B5F">
            <w:pPr>
              <w:rPr>
                <w:rFonts w:hint="eastAsia" w:ascii="仿宋_GB2312" w:hAnsi="黑体" w:eastAsia="仿宋_GB2312" w:cs="仿宋_GB2312"/>
                <w:kern w:val="0"/>
                <w:szCs w:val="21"/>
              </w:rPr>
            </w:pP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CE9432D">
            <w:pPr>
              <w:adjustRightInd w:val="0"/>
              <w:snapToGrid w:val="0"/>
              <w:spacing w:line="40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强制扑杀数量</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BC2CBF8">
            <w:pPr>
              <w:adjustRightInd w:val="0"/>
              <w:snapToGrid w:val="0"/>
              <w:spacing w:line="400" w:lineRule="exact"/>
              <w:jc w:val="center"/>
              <w:rPr>
                <w:rFonts w:hint="eastAsia" w:ascii="仿宋_GB2312" w:hAnsi="黑体" w:eastAsia="仿宋_GB2312" w:cs="仿宋_GB2312"/>
                <w:kern w:val="0"/>
                <w:sz w:val="24"/>
                <w:szCs w:val="24"/>
              </w:rPr>
            </w:pPr>
            <w:r>
              <w:rPr>
                <w:rFonts w:hint="eastAsia" w:ascii="仿宋_GB2312" w:hAnsi="黑体" w:eastAsia="仿宋_GB2312" w:cs="仿宋_GB2312"/>
                <w:kern w:val="0"/>
                <w:sz w:val="24"/>
                <w:szCs w:val="24"/>
              </w:rPr>
              <w:t>只</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B17D2E5">
            <w:pPr>
              <w:adjustRightInd w:val="0"/>
              <w:snapToGrid w:val="0"/>
              <w:spacing w:line="40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138</w:t>
            </w:r>
          </w:p>
        </w:tc>
      </w:tr>
      <w:tr w14:paraId="0FD837A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24E283E">
            <w:pPr>
              <w:rPr>
                <w:rFonts w:hint="eastAsia" w:ascii="仿宋_GB2312" w:hAnsi="黑体" w:eastAsia="仿宋_GB2312" w:cs="仿宋_GB2312"/>
                <w:kern w:val="0"/>
                <w:szCs w:val="21"/>
              </w:rPr>
            </w:pPr>
          </w:p>
        </w:tc>
        <w:tc>
          <w:tcPr>
            <w:tcW w:w="851"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B6A7D75">
            <w:pPr>
              <w:rPr>
                <w:rFonts w:hint="eastAsia" w:ascii="仿宋_GB2312" w:hAnsi="黑体" w:eastAsia="仿宋_GB2312" w:cs="仿宋_GB2312"/>
                <w:kern w:val="0"/>
                <w:szCs w:val="21"/>
              </w:rPr>
            </w:pPr>
          </w:p>
        </w:tc>
        <w:tc>
          <w:tcPr>
            <w:tcW w:w="1276" w:type="dxa"/>
            <w:gridSpan w:val="2"/>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F5BCE6B">
            <w:pPr>
              <w:adjustRightInd w:val="0"/>
              <w:snapToGrid w:val="0"/>
              <w:spacing w:line="40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质量指标</w:t>
            </w: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00A9B57">
            <w:pPr>
              <w:adjustRightInd w:val="0"/>
              <w:snapToGrid w:val="0"/>
              <w:spacing w:line="40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依法对重大动物疫情处置率</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1F6227C">
            <w:pPr>
              <w:adjustRightInd w:val="0"/>
              <w:snapToGrid w:val="0"/>
              <w:spacing w:line="400" w:lineRule="exact"/>
              <w:jc w:val="center"/>
              <w:rPr>
                <w:rFonts w:hint="eastAsia" w:ascii="仿宋_GB2312" w:hAnsi="黑体" w:eastAsia="仿宋_GB2312" w:cs="仿宋_GB2312"/>
                <w:kern w:val="0"/>
                <w:sz w:val="24"/>
                <w:szCs w:val="24"/>
              </w:rPr>
            </w:pPr>
            <w:r>
              <w:rPr>
                <w:rFonts w:hint="eastAsia" w:ascii="仿宋_GB2312" w:hAnsi="黑体" w:eastAsia="仿宋_GB2312" w:cs="仿宋_GB2312"/>
                <w:kern w:val="0"/>
                <w:sz w:val="24"/>
                <w:szCs w:val="24"/>
              </w:rPr>
              <w:t>%</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A95CCA1">
            <w:pPr>
              <w:adjustRightInd w:val="0"/>
              <w:snapToGrid w:val="0"/>
              <w:spacing w:line="40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100%</w:t>
            </w:r>
          </w:p>
        </w:tc>
      </w:tr>
      <w:tr w14:paraId="7B0F33D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4DC8CA2">
            <w:pPr>
              <w:rPr>
                <w:rFonts w:hint="eastAsia" w:ascii="仿宋_GB2312" w:hAnsi="黑体" w:eastAsia="仿宋_GB2312" w:cs="仿宋_GB2312"/>
                <w:kern w:val="0"/>
                <w:szCs w:val="21"/>
              </w:rPr>
            </w:pPr>
          </w:p>
        </w:tc>
        <w:tc>
          <w:tcPr>
            <w:tcW w:w="851"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C0C2A2C">
            <w:pPr>
              <w:rPr>
                <w:rFonts w:hint="eastAsia" w:ascii="仿宋_GB2312" w:hAnsi="黑体" w:eastAsia="仿宋_GB2312" w:cs="仿宋_GB2312"/>
                <w:kern w:val="0"/>
                <w:szCs w:val="21"/>
              </w:rPr>
            </w:pPr>
          </w:p>
        </w:tc>
        <w:tc>
          <w:tcPr>
            <w:tcW w:w="1276" w:type="dxa"/>
            <w:gridSpan w:val="2"/>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9BAB5A0">
            <w:pPr>
              <w:rPr>
                <w:rFonts w:hint="eastAsia" w:ascii="仿宋_GB2312" w:hAnsi="黑体" w:eastAsia="仿宋_GB2312" w:cs="仿宋_GB2312"/>
                <w:kern w:val="0"/>
                <w:szCs w:val="21"/>
              </w:rPr>
            </w:pP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AD67438">
            <w:pPr>
              <w:adjustRightInd w:val="0"/>
              <w:snapToGrid w:val="0"/>
              <w:spacing w:line="28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免疫质量和免疫效果（除布病外其他病种的平均免疫抗体合格率）</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03571EA">
            <w:pPr>
              <w:adjustRightInd w:val="0"/>
              <w:snapToGrid w:val="0"/>
              <w:spacing w:line="400" w:lineRule="exact"/>
              <w:jc w:val="center"/>
              <w:rPr>
                <w:rFonts w:hint="eastAsia" w:ascii="仿宋_GB2312" w:hAnsi="黑体" w:eastAsia="仿宋_GB2312" w:cs="仿宋_GB2312"/>
                <w:kern w:val="0"/>
                <w:sz w:val="24"/>
                <w:szCs w:val="24"/>
              </w:rPr>
            </w:pPr>
            <w:r>
              <w:rPr>
                <w:rFonts w:hint="eastAsia" w:ascii="仿宋_GB2312" w:hAnsi="黑体" w:eastAsia="仿宋_GB2312" w:cs="仿宋_GB2312"/>
                <w:kern w:val="0"/>
                <w:sz w:val="24"/>
                <w:szCs w:val="24"/>
              </w:rPr>
              <w:t>%</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D601B96">
            <w:pPr>
              <w:adjustRightInd w:val="0"/>
              <w:snapToGrid w:val="0"/>
              <w:spacing w:line="40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70%</w:t>
            </w:r>
          </w:p>
        </w:tc>
      </w:tr>
      <w:tr w14:paraId="01E587F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143A91A">
            <w:pPr>
              <w:rPr>
                <w:rFonts w:hint="eastAsia" w:ascii="仿宋_GB2312" w:hAnsi="黑体" w:eastAsia="仿宋_GB2312" w:cs="仿宋_GB2312"/>
                <w:kern w:val="0"/>
                <w:szCs w:val="21"/>
              </w:rPr>
            </w:pPr>
          </w:p>
        </w:tc>
        <w:tc>
          <w:tcPr>
            <w:tcW w:w="851"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BBB0BB5">
            <w:pPr>
              <w:rPr>
                <w:rFonts w:hint="eastAsia" w:ascii="仿宋_GB2312" w:hAnsi="黑体" w:eastAsia="仿宋_GB2312" w:cs="仿宋_GB2312"/>
                <w:kern w:val="0"/>
                <w:szCs w:val="21"/>
              </w:rPr>
            </w:pPr>
          </w:p>
        </w:tc>
        <w:tc>
          <w:tcPr>
            <w:tcW w:w="127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1BD009D">
            <w:pPr>
              <w:adjustRightInd w:val="0"/>
              <w:snapToGrid w:val="0"/>
              <w:spacing w:line="28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时效指标</w:t>
            </w: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ACD4334">
            <w:pPr>
              <w:adjustRightInd w:val="0"/>
              <w:snapToGrid w:val="0"/>
              <w:spacing w:line="40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重大动物疫情及时报告率</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F97F643">
            <w:pPr>
              <w:adjustRightInd w:val="0"/>
              <w:snapToGrid w:val="0"/>
              <w:spacing w:line="400" w:lineRule="exact"/>
              <w:jc w:val="center"/>
              <w:rPr>
                <w:rFonts w:hint="eastAsia" w:ascii="仿宋_GB2312" w:hAnsi="黑体" w:eastAsia="仿宋_GB2312" w:cs="仿宋_GB2312"/>
                <w:kern w:val="0"/>
                <w:sz w:val="24"/>
                <w:szCs w:val="24"/>
              </w:rPr>
            </w:pPr>
            <w:r>
              <w:rPr>
                <w:rFonts w:hint="eastAsia" w:ascii="仿宋_GB2312" w:hAnsi="黑体" w:eastAsia="仿宋_GB2312" w:cs="仿宋_GB2312"/>
                <w:kern w:val="0"/>
                <w:sz w:val="24"/>
                <w:szCs w:val="24"/>
              </w:rPr>
              <w:t>%</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3CF470D">
            <w:pPr>
              <w:adjustRightInd w:val="0"/>
              <w:snapToGrid w:val="0"/>
              <w:spacing w:line="40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100%</w:t>
            </w:r>
          </w:p>
        </w:tc>
      </w:tr>
      <w:tr w14:paraId="29B0D27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6" w:hRule="atLeast"/>
        </w:trPr>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D9E5BE2">
            <w:pPr>
              <w:rPr>
                <w:rFonts w:hint="eastAsia" w:ascii="仿宋_GB2312" w:hAnsi="黑体" w:eastAsia="仿宋_GB2312" w:cs="仿宋_GB2312"/>
                <w:kern w:val="0"/>
                <w:szCs w:val="21"/>
              </w:rPr>
            </w:pPr>
          </w:p>
        </w:tc>
        <w:tc>
          <w:tcPr>
            <w:tcW w:w="851"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F37D3AF">
            <w:pPr>
              <w:adjustRightInd w:val="0"/>
              <w:snapToGrid w:val="0"/>
              <w:spacing w:line="36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效益指标</w:t>
            </w:r>
          </w:p>
        </w:tc>
        <w:tc>
          <w:tcPr>
            <w:tcW w:w="127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3BC09E3E">
            <w:pPr>
              <w:adjustRightInd w:val="0"/>
              <w:snapToGrid w:val="0"/>
              <w:spacing w:line="32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社会效益指标</w:t>
            </w: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78376CE">
            <w:pPr>
              <w:adjustRightInd w:val="0"/>
              <w:snapToGrid w:val="0"/>
              <w:spacing w:line="32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口蹄疫、高致病性禽流感、布病等优先防治病种防治工作</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971A536">
            <w:pPr>
              <w:adjustRightInd w:val="0"/>
              <w:snapToGrid w:val="0"/>
              <w:spacing w:line="320" w:lineRule="exact"/>
              <w:jc w:val="center"/>
              <w:rPr>
                <w:rFonts w:hint="eastAsia" w:ascii="仿宋_GB2312" w:hAnsi="黑体" w:eastAsia="仿宋_GB2312" w:cs="仿宋_GB2312"/>
                <w:kern w:val="0"/>
                <w:sz w:val="24"/>
                <w:szCs w:val="24"/>
              </w:rPr>
            </w:pPr>
            <w:r>
              <w:rPr>
                <w:rFonts w:hint="eastAsia" w:ascii="仿宋_GB2312" w:hAnsi="黑体" w:eastAsia="仿宋_GB2312" w:cs="仿宋_GB2312"/>
                <w:kern w:val="0"/>
                <w:sz w:val="24"/>
                <w:szCs w:val="24"/>
              </w:rPr>
              <w:t>%</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7DBE36E">
            <w:pPr>
              <w:adjustRightInd w:val="0"/>
              <w:snapToGrid w:val="0"/>
              <w:spacing w:line="32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疫情保持平稳</w:t>
            </w:r>
          </w:p>
        </w:tc>
      </w:tr>
      <w:tr w14:paraId="5F6F4A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F881C50">
            <w:pPr>
              <w:rPr>
                <w:rFonts w:hint="eastAsia" w:ascii="仿宋_GB2312" w:hAnsi="黑体" w:eastAsia="仿宋_GB2312" w:cs="仿宋_GB2312"/>
                <w:kern w:val="0"/>
                <w:szCs w:val="21"/>
              </w:rPr>
            </w:pPr>
          </w:p>
        </w:tc>
        <w:tc>
          <w:tcPr>
            <w:tcW w:w="851"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3B32286">
            <w:pPr>
              <w:rPr>
                <w:rFonts w:hint="eastAsia" w:ascii="仿宋_GB2312" w:hAnsi="黑体" w:eastAsia="仿宋_GB2312" w:cs="仿宋_GB2312"/>
                <w:kern w:val="0"/>
                <w:szCs w:val="21"/>
              </w:rPr>
            </w:pPr>
          </w:p>
        </w:tc>
        <w:tc>
          <w:tcPr>
            <w:tcW w:w="127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2A403317">
            <w:pPr>
              <w:adjustRightInd w:val="0"/>
              <w:snapToGrid w:val="0"/>
              <w:spacing w:line="36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经济效益指标</w:t>
            </w: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BF4CCF9">
            <w:pPr>
              <w:adjustRightInd w:val="0"/>
              <w:snapToGrid w:val="0"/>
              <w:spacing w:line="40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资金使用重大违纪问题</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9686191">
            <w:pPr>
              <w:adjustRightInd w:val="0"/>
              <w:snapToGrid w:val="0"/>
              <w:spacing w:line="400" w:lineRule="exact"/>
              <w:jc w:val="center"/>
              <w:rPr>
                <w:rFonts w:hint="eastAsia" w:ascii="仿宋_GB2312" w:hAnsi="黑体" w:eastAsia="仿宋_GB2312" w:cs="仿宋_GB2312"/>
                <w:kern w:val="0"/>
                <w:sz w:val="18"/>
                <w:szCs w:val="18"/>
              </w:rPr>
            </w:pPr>
            <w:r>
              <w:rPr>
                <w:rFonts w:hint="eastAsia" w:ascii="仿宋_GB2312" w:hAnsi="黑体" w:eastAsia="仿宋_GB2312" w:cs="仿宋_GB2312"/>
                <w:kern w:val="0"/>
                <w:sz w:val="18"/>
                <w:szCs w:val="18"/>
              </w:rPr>
              <w:t>有/无</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473F448">
            <w:pPr>
              <w:adjustRightInd w:val="0"/>
              <w:snapToGrid w:val="0"/>
              <w:spacing w:line="40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无</w:t>
            </w:r>
          </w:p>
        </w:tc>
      </w:tr>
      <w:tr w14:paraId="69FD178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B914EA7">
            <w:pPr>
              <w:rPr>
                <w:rFonts w:hint="eastAsia" w:ascii="仿宋_GB2312" w:hAnsi="黑体" w:eastAsia="仿宋_GB2312" w:cs="仿宋_GB2312"/>
                <w:kern w:val="0"/>
                <w:szCs w:val="21"/>
              </w:rPr>
            </w:pPr>
          </w:p>
        </w:tc>
        <w:tc>
          <w:tcPr>
            <w:tcW w:w="851"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0833B28">
            <w:pPr>
              <w:rPr>
                <w:rFonts w:hint="eastAsia" w:ascii="仿宋_GB2312" w:hAnsi="黑体" w:eastAsia="仿宋_GB2312" w:cs="仿宋_GB2312"/>
                <w:kern w:val="0"/>
                <w:szCs w:val="21"/>
              </w:rPr>
            </w:pPr>
          </w:p>
        </w:tc>
        <w:tc>
          <w:tcPr>
            <w:tcW w:w="127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58122E1">
            <w:pPr>
              <w:adjustRightInd w:val="0"/>
              <w:snapToGrid w:val="0"/>
              <w:spacing w:line="36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生态效益指标</w:t>
            </w: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623F82B">
            <w:pPr>
              <w:adjustRightInd w:val="0"/>
              <w:snapToGrid w:val="0"/>
              <w:spacing w:line="40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大规模随意抛弃病死猪发生率</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CF448B6">
            <w:pPr>
              <w:adjustRightInd w:val="0"/>
              <w:snapToGrid w:val="0"/>
              <w:spacing w:line="400" w:lineRule="exact"/>
              <w:jc w:val="center"/>
              <w:rPr>
                <w:rFonts w:hint="eastAsia" w:ascii="仿宋_GB2312" w:hAnsi="黑体" w:eastAsia="仿宋_GB2312" w:cs="仿宋_GB2312"/>
                <w:kern w:val="0"/>
                <w:sz w:val="24"/>
                <w:szCs w:val="24"/>
              </w:rPr>
            </w:pPr>
            <w:r>
              <w:rPr>
                <w:rFonts w:hint="eastAsia" w:ascii="仿宋_GB2312" w:hAnsi="黑体" w:eastAsia="仿宋_GB2312" w:cs="仿宋_GB2312"/>
                <w:kern w:val="0"/>
                <w:sz w:val="24"/>
                <w:szCs w:val="24"/>
              </w:rPr>
              <w:t>%</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29645B5">
            <w:pPr>
              <w:adjustRightInd w:val="0"/>
              <w:snapToGrid w:val="0"/>
              <w:spacing w:line="40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0</w:t>
            </w:r>
          </w:p>
        </w:tc>
      </w:tr>
      <w:tr w14:paraId="7F8ECF9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D7D8485">
            <w:pPr>
              <w:rPr>
                <w:rFonts w:hint="eastAsia" w:ascii="仿宋_GB2312" w:hAnsi="黑体" w:eastAsia="仿宋_GB2312" w:cs="仿宋_GB2312"/>
                <w:kern w:val="0"/>
                <w:szCs w:val="21"/>
              </w:rPr>
            </w:pPr>
          </w:p>
        </w:tc>
        <w:tc>
          <w:tcPr>
            <w:tcW w:w="851"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351A54D">
            <w:pPr>
              <w:rPr>
                <w:rFonts w:hint="eastAsia" w:ascii="仿宋_GB2312" w:hAnsi="黑体" w:eastAsia="仿宋_GB2312" w:cs="仿宋_GB2312"/>
                <w:kern w:val="0"/>
                <w:szCs w:val="21"/>
              </w:rPr>
            </w:pPr>
          </w:p>
        </w:tc>
        <w:tc>
          <w:tcPr>
            <w:tcW w:w="127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2E3F63A6">
            <w:pPr>
              <w:adjustRightInd w:val="0"/>
              <w:snapToGrid w:val="0"/>
              <w:spacing w:line="32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可持续影响指标</w:t>
            </w: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0DEA7A1">
            <w:pPr>
              <w:adjustRightInd w:val="0"/>
              <w:snapToGrid w:val="0"/>
              <w:spacing w:line="56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畜牧业发展质量</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8D19A8B">
            <w:pPr>
              <w:adjustRightInd w:val="0"/>
              <w:snapToGrid w:val="0"/>
              <w:spacing w:line="560" w:lineRule="exact"/>
              <w:jc w:val="center"/>
              <w:rPr>
                <w:rFonts w:hint="eastAsia" w:ascii="仿宋_GB2312" w:hAnsi="黑体" w:eastAsia="仿宋_GB2312" w:cs="仿宋_GB2312"/>
                <w:kern w:val="0"/>
                <w:sz w:val="24"/>
                <w:szCs w:val="24"/>
              </w:rPr>
            </w:pPr>
            <w:r>
              <w:rPr>
                <w:rFonts w:hint="eastAsia" w:ascii="仿宋_GB2312" w:hAnsi="黑体" w:eastAsia="仿宋_GB2312" w:cs="仿宋_GB2312"/>
                <w:kern w:val="0"/>
                <w:sz w:val="24"/>
                <w:szCs w:val="24"/>
              </w:rPr>
              <w:t>%</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C226BCF">
            <w:pPr>
              <w:adjustRightInd w:val="0"/>
              <w:snapToGrid w:val="0"/>
              <w:spacing w:line="56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稳定提高</w:t>
            </w:r>
          </w:p>
        </w:tc>
      </w:tr>
      <w:tr w14:paraId="5C19ED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6" w:hRule="atLeast"/>
        </w:trPr>
        <w:tc>
          <w:tcPr>
            <w:tcW w:w="958"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4BDF91F">
            <w:pPr>
              <w:rPr>
                <w:rFonts w:hint="eastAsia" w:ascii="仿宋_GB2312" w:hAnsi="黑体" w:eastAsia="仿宋_GB2312" w:cs="仿宋_GB2312"/>
                <w:kern w:val="0"/>
                <w:szCs w:val="21"/>
              </w:rPr>
            </w:pPr>
          </w:p>
        </w:tc>
        <w:tc>
          <w:tcPr>
            <w:tcW w:w="85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70ACF17">
            <w:pPr>
              <w:adjustRightInd w:val="0"/>
              <w:snapToGrid w:val="0"/>
              <w:spacing w:line="32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满意度指标</w:t>
            </w:r>
          </w:p>
        </w:tc>
        <w:tc>
          <w:tcPr>
            <w:tcW w:w="127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4B75B01">
            <w:pPr>
              <w:adjustRightInd w:val="0"/>
              <w:snapToGrid w:val="0"/>
              <w:spacing w:line="32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服务对象满意度指标</w:t>
            </w:r>
          </w:p>
        </w:tc>
        <w:tc>
          <w:tcPr>
            <w:tcW w:w="3686" w:type="dxa"/>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92B114C">
            <w:pPr>
              <w:adjustRightInd w:val="0"/>
              <w:snapToGrid w:val="0"/>
              <w:spacing w:line="560" w:lineRule="exact"/>
              <w:jc w:val="center"/>
              <w:rPr>
                <w:rFonts w:hint="eastAsia" w:ascii="仿宋_GB2312" w:hAnsi="黑体" w:eastAsia="仿宋_GB2312" w:cs="仿宋_GB2312"/>
                <w:kern w:val="0"/>
                <w:szCs w:val="21"/>
              </w:rPr>
            </w:pPr>
            <w:r>
              <w:rPr>
                <w:rFonts w:hint="eastAsia" w:ascii="仿宋_GB2312" w:hAnsi="黑体" w:eastAsia="仿宋_GB2312" w:cs="仿宋_GB2312"/>
                <w:kern w:val="0"/>
                <w:szCs w:val="21"/>
              </w:rPr>
              <w:t>养殖场（户）满意率</w:t>
            </w:r>
          </w:p>
        </w:tc>
        <w:tc>
          <w:tcPr>
            <w:tcW w:w="56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4438BF1">
            <w:pPr>
              <w:adjustRightInd w:val="0"/>
              <w:snapToGrid w:val="0"/>
              <w:spacing w:line="560" w:lineRule="exact"/>
              <w:jc w:val="center"/>
              <w:rPr>
                <w:rFonts w:hint="eastAsia" w:ascii="仿宋_GB2312" w:hAnsi="黑体" w:eastAsia="仿宋_GB2312" w:cs="仿宋_GB2312"/>
                <w:kern w:val="0"/>
                <w:sz w:val="24"/>
                <w:szCs w:val="24"/>
              </w:rPr>
            </w:pPr>
            <w:r>
              <w:rPr>
                <w:rFonts w:hint="eastAsia" w:ascii="仿宋_GB2312" w:hAnsi="黑体" w:eastAsia="仿宋_GB2312" w:cs="仿宋_GB2312"/>
                <w:kern w:val="0"/>
                <w:sz w:val="24"/>
                <w:szCs w:val="24"/>
              </w:rPr>
              <w:t>%</w:t>
            </w:r>
          </w:p>
        </w:tc>
        <w:tc>
          <w:tcPr>
            <w:tcW w:w="142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E5C75A5">
            <w:pPr>
              <w:adjustRightInd w:val="0"/>
              <w:snapToGrid w:val="0"/>
              <w:spacing w:line="560" w:lineRule="exact"/>
              <w:jc w:val="center"/>
              <w:rPr>
                <w:rFonts w:hint="eastAsia" w:ascii="仿宋" w:hAnsi="仿宋" w:eastAsia="仿宋" w:cs="仿宋_GB2312"/>
                <w:kern w:val="0"/>
                <w:sz w:val="24"/>
                <w:szCs w:val="24"/>
              </w:rPr>
            </w:pPr>
            <w:r>
              <w:rPr>
                <w:rFonts w:hint="eastAsia" w:ascii="仿宋" w:hAnsi="仿宋" w:eastAsia="仿宋" w:cs="仿宋_GB2312"/>
                <w:kern w:val="0"/>
                <w:sz w:val="24"/>
                <w:szCs w:val="24"/>
              </w:rPr>
              <w:t>≥90%</w:t>
            </w:r>
          </w:p>
        </w:tc>
      </w:tr>
    </w:tbl>
    <w:p w14:paraId="69B1327B">
      <w:pPr>
        <w:spacing w:line="220" w:lineRule="atLeast"/>
        <w:rPr>
          <w:rFonts w:ascii="Tahoma" w:hAnsi="Tahoma" w:eastAsia="微软雅黑"/>
          <w:sz w:val="22"/>
        </w:rPr>
      </w:pPr>
    </w:p>
    <w:p w14:paraId="48999F17">
      <w:pPr>
        <w:widowControl/>
        <w:jc w:val="left"/>
        <w:rPr>
          <w:rFonts w:ascii="Tahoma" w:hAnsi="Tahoma" w:eastAsia="微软雅黑"/>
          <w:sz w:val="22"/>
        </w:rPr>
      </w:pPr>
      <w:r>
        <w:rPr>
          <w:rFonts w:ascii="Tahoma" w:hAnsi="Tahoma" w:eastAsia="微软雅黑"/>
          <w:sz w:val="22"/>
        </w:rPr>
        <w:br w:type="page"/>
      </w:r>
    </w:p>
    <w:p w14:paraId="56B3A1D0">
      <w:pPr>
        <w:spacing w:line="220" w:lineRule="atLeast"/>
        <w:rPr>
          <w:rFonts w:ascii="Tahoma" w:hAnsi="Tahoma" w:eastAsia="微软雅黑"/>
          <w:sz w:val="22"/>
        </w:rPr>
        <w:sectPr>
          <w:pgSz w:w="11906" w:h="16838"/>
          <w:pgMar w:top="1440" w:right="1800" w:bottom="1440" w:left="1800" w:header="851" w:footer="992" w:gutter="0"/>
          <w:cols w:space="425" w:num="1"/>
          <w:docGrid w:type="lines" w:linePitch="312" w:charSpace="0"/>
        </w:sectPr>
      </w:pPr>
    </w:p>
    <w:tbl>
      <w:tblPr>
        <w:tblStyle w:val="4"/>
        <w:tblW w:w="14174" w:type="dxa"/>
        <w:tblInd w:w="0" w:type="dxa"/>
        <w:tblLayout w:type="fixed"/>
        <w:tblCellMar>
          <w:top w:w="0" w:type="dxa"/>
          <w:left w:w="108" w:type="dxa"/>
          <w:bottom w:w="0" w:type="dxa"/>
          <w:right w:w="108" w:type="dxa"/>
        </w:tblCellMar>
      </w:tblPr>
      <w:tblGrid>
        <w:gridCol w:w="461"/>
        <w:gridCol w:w="868"/>
        <w:gridCol w:w="2086"/>
        <w:gridCol w:w="914"/>
        <w:gridCol w:w="1576"/>
        <w:gridCol w:w="4693"/>
        <w:gridCol w:w="850"/>
        <w:gridCol w:w="851"/>
        <w:gridCol w:w="680"/>
        <w:gridCol w:w="642"/>
        <w:gridCol w:w="553"/>
      </w:tblGrid>
      <w:tr w14:paraId="709DB36A">
        <w:tblPrEx>
          <w:tblCellMar>
            <w:top w:w="0" w:type="dxa"/>
            <w:left w:w="108" w:type="dxa"/>
            <w:bottom w:w="0" w:type="dxa"/>
            <w:right w:w="108" w:type="dxa"/>
          </w:tblCellMar>
        </w:tblPrEx>
        <w:trPr>
          <w:trHeight w:val="810" w:hRule="atLeast"/>
        </w:trPr>
        <w:tc>
          <w:tcPr>
            <w:tcW w:w="14174" w:type="dxa"/>
            <w:gridSpan w:val="11"/>
            <w:tcBorders>
              <w:top w:val="nil"/>
              <w:left w:val="nil"/>
              <w:bottom w:val="nil"/>
              <w:right w:val="nil"/>
            </w:tcBorders>
            <w:shd w:val="clear" w:color="auto" w:fill="auto"/>
            <w:vAlign w:val="center"/>
          </w:tcPr>
          <w:p w14:paraId="4B3CA549">
            <w:pPr>
              <w:widowControl/>
              <w:spacing w:after="0" w:line="240" w:lineRule="auto"/>
              <w:jc w:val="center"/>
              <w:rPr>
                <w:rFonts w:hint="eastAsia" w:ascii="方正小标宋简体" w:hAnsi="宋体" w:eastAsia="方正小标宋简体" w:cs="宋体"/>
                <w:color w:val="000000"/>
                <w:kern w:val="0"/>
                <w:sz w:val="32"/>
                <w:szCs w:val="32"/>
              </w:rPr>
            </w:pPr>
            <w:r>
              <w:rPr>
                <w:rFonts w:hint="eastAsia" w:ascii="微软雅黑" w:hAnsi="微软雅黑" w:eastAsia="微软雅黑" w:cs="微软雅黑"/>
                <w:color w:val="000000"/>
                <w:kern w:val="0"/>
                <w:sz w:val="32"/>
                <w:szCs w:val="32"/>
              </w:rPr>
              <w:t>宝鸡市陈仓区</w:t>
            </w:r>
            <w:r>
              <w:rPr>
                <w:rFonts w:hint="eastAsia" w:ascii="方正小标宋简体" w:hAnsi="宋体" w:eastAsia="方正小标宋简体" w:cs="宋体"/>
                <w:color w:val="000000"/>
                <w:kern w:val="0"/>
                <w:sz w:val="32"/>
                <w:szCs w:val="32"/>
              </w:rPr>
              <w:t>2025</w:t>
            </w:r>
            <w:r>
              <w:rPr>
                <w:rFonts w:hint="eastAsia" w:ascii="微软雅黑" w:hAnsi="微软雅黑" w:eastAsia="微软雅黑" w:cs="微软雅黑"/>
                <w:color w:val="000000"/>
                <w:kern w:val="0"/>
                <w:sz w:val="32"/>
                <w:szCs w:val="32"/>
              </w:rPr>
              <w:t>年农业防灾减灾和水利救灾资金动物防疫补助项目申请表</w:t>
            </w:r>
          </w:p>
        </w:tc>
      </w:tr>
      <w:tr w14:paraId="06F5D411">
        <w:tblPrEx>
          <w:tblCellMar>
            <w:top w:w="0" w:type="dxa"/>
            <w:left w:w="108" w:type="dxa"/>
            <w:bottom w:w="0" w:type="dxa"/>
            <w:right w:w="108" w:type="dxa"/>
          </w:tblCellMar>
        </w:tblPrEx>
        <w:trPr>
          <w:trHeight w:val="405" w:hRule="atLeast"/>
        </w:trPr>
        <w:tc>
          <w:tcPr>
            <w:tcW w:w="10598" w:type="dxa"/>
            <w:gridSpan w:val="6"/>
            <w:tcBorders>
              <w:top w:val="nil"/>
              <w:left w:val="nil"/>
              <w:bottom w:val="single" w:color="000000" w:sz="4" w:space="0"/>
              <w:right w:val="nil"/>
            </w:tcBorders>
            <w:shd w:val="clear" w:color="auto" w:fill="auto"/>
            <w:vAlign w:val="center"/>
          </w:tcPr>
          <w:p w14:paraId="6CF8D7CD">
            <w:pPr>
              <w:widowControl/>
              <w:spacing w:after="0" w:line="240" w:lineRule="auto"/>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专项资金类别：中央财政资金</w:t>
            </w:r>
          </w:p>
        </w:tc>
        <w:tc>
          <w:tcPr>
            <w:tcW w:w="850" w:type="dxa"/>
            <w:tcBorders>
              <w:top w:val="nil"/>
              <w:left w:val="nil"/>
              <w:bottom w:val="nil"/>
              <w:right w:val="nil"/>
            </w:tcBorders>
            <w:shd w:val="clear" w:color="auto" w:fill="auto"/>
            <w:vAlign w:val="center"/>
          </w:tcPr>
          <w:p w14:paraId="217BBBB3">
            <w:pPr>
              <w:widowControl/>
              <w:spacing w:after="0" w:line="240" w:lineRule="auto"/>
              <w:jc w:val="left"/>
              <w:rPr>
                <w:rFonts w:hint="eastAsia" w:ascii="宋体" w:hAnsi="宋体" w:eastAsia="宋体" w:cs="宋体"/>
                <w:color w:val="000000"/>
                <w:kern w:val="0"/>
                <w:sz w:val="18"/>
                <w:szCs w:val="18"/>
              </w:rPr>
            </w:pPr>
          </w:p>
        </w:tc>
        <w:tc>
          <w:tcPr>
            <w:tcW w:w="851" w:type="dxa"/>
            <w:tcBorders>
              <w:top w:val="nil"/>
              <w:left w:val="nil"/>
              <w:bottom w:val="nil"/>
              <w:right w:val="nil"/>
            </w:tcBorders>
            <w:shd w:val="clear" w:color="auto" w:fill="auto"/>
            <w:vAlign w:val="center"/>
          </w:tcPr>
          <w:p w14:paraId="22DC8EFB">
            <w:pPr>
              <w:widowControl/>
              <w:spacing w:after="0" w:line="240" w:lineRule="auto"/>
              <w:jc w:val="center"/>
              <w:rPr>
                <w:rFonts w:ascii="Times New Roman" w:hAnsi="Times New Roman" w:eastAsia="Times New Roman" w:cs="Times New Roman"/>
                <w:kern w:val="0"/>
                <w:sz w:val="20"/>
                <w:szCs w:val="20"/>
              </w:rPr>
            </w:pPr>
          </w:p>
        </w:tc>
        <w:tc>
          <w:tcPr>
            <w:tcW w:w="680" w:type="dxa"/>
            <w:tcBorders>
              <w:top w:val="nil"/>
              <w:left w:val="nil"/>
              <w:bottom w:val="nil"/>
              <w:right w:val="nil"/>
            </w:tcBorders>
            <w:shd w:val="clear" w:color="auto" w:fill="auto"/>
            <w:vAlign w:val="center"/>
          </w:tcPr>
          <w:p w14:paraId="0265FB92">
            <w:pPr>
              <w:widowControl/>
              <w:spacing w:after="0" w:line="240" w:lineRule="auto"/>
              <w:jc w:val="center"/>
              <w:rPr>
                <w:rFonts w:ascii="Times New Roman" w:hAnsi="Times New Roman" w:eastAsia="Times New Roman" w:cs="Times New Roman"/>
                <w:kern w:val="0"/>
                <w:sz w:val="20"/>
                <w:szCs w:val="20"/>
              </w:rPr>
            </w:pPr>
          </w:p>
        </w:tc>
        <w:tc>
          <w:tcPr>
            <w:tcW w:w="1195" w:type="dxa"/>
            <w:gridSpan w:val="2"/>
            <w:tcBorders>
              <w:top w:val="nil"/>
              <w:left w:val="nil"/>
              <w:bottom w:val="single" w:color="000000" w:sz="4" w:space="0"/>
              <w:right w:val="nil"/>
            </w:tcBorders>
            <w:shd w:val="clear" w:color="auto" w:fill="auto"/>
            <w:vAlign w:val="center"/>
          </w:tcPr>
          <w:p w14:paraId="1D70AEFD">
            <w:pPr>
              <w:widowControl/>
              <w:spacing w:after="0" w:line="240" w:lineRule="auto"/>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单位：万元</w:t>
            </w:r>
          </w:p>
        </w:tc>
      </w:tr>
      <w:tr w14:paraId="127BB143">
        <w:tblPrEx>
          <w:tblCellMar>
            <w:top w:w="0" w:type="dxa"/>
            <w:left w:w="108" w:type="dxa"/>
            <w:bottom w:w="0" w:type="dxa"/>
            <w:right w:w="108" w:type="dxa"/>
          </w:tblCellMar>
        </w:tblPrEx>
        <w:trPr>
          <w:trHeight w:val="435" w:hRule="atLeast"/>
        </w:trPr>
        <w:tc>
          <w:tcPr>
            <w:tcW w:w="461" w:type="dxa"/>
            <w:vMerge w:val="restart"/>
            <w:tcBorders>
              <w:top w:val="nil"/>
              <w:left w:val="single" w:color="000000" w:sz="4" w:space="0"/>
              <w:bottom w:val="single" w:color="000000" w:sz="4" w:space="0"/>
              <w:right w:val="single" w:color="000000" w:sz="4" w:space="0"/>
            </w:tcBorders>
            <w:shd w:val="clear" w:color="auto" w:fill="auto"/>
            <w:vAlign w:val="center"/>
          </w:tcPr>
          <w:p w14:paraId="1FD5447A">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序号</w:t>
            </w:r>
          </w:p>
        </w:tc>
        <w:tc>
          <w:tcPr>
            <w:tcW w:w="868" w:type="dxa"/>
            <w:vMerge w:val="restart"/>
            <w:tcBorders>
              <w:top w:val="nil"/>
              <w:left w:val="single" w:color="000000" w:sz="4" w:space="0"/>
              <w:bottom w:val="single" w:color="000000" w:sz="4" w:space="0"/>
              <w:right w:val="single" w:color="000000" w:sz="4" w:space="0"/>
            </w:tcBorders>
            <w:shd w:val="clear" w:color="auto" w:fill="auto"/>
            <w:vAlign w:val="center"/>
          </w:tcPr>
          <w:p w14:paraId="53B0CDEB">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项目主管单位</w:t>
            </w:r>
          </w:p>
        </w:tc>
        <w:tc>
          <w:tcPr>
            <w:tcW w:w="2086" w:type="dxa"/>
            <w:vMerge w:val="restart"/>
            <w:tcBorders>
              <w:top w:val="nil"/>
              <w:left w:val="single" w:color="000000" w:sz="4" w:space="0"/>
              <w:bottom w:val="single" w:color="000000" w:sz="4" w:space="0"/>
              <w:right w:val="single" w:color="000000" w:sz="4" w:space="0"/>
            </w:tcBorders>
            <w:shd w:val="clear" w:color="auto" w:fill="auto"/>
            <w:vAlign w:val="center"/>
          </w:tcPr>
          <w:p w14:paraId="40D882CB">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项目名称</w:t>
            </w:r>
          </w:p>
        </w:tc>
        <w:tc>
          <w:tcPr>
            <w:tcW w:w="914" w:type="dxa"/>
            <w:vMerge w:val="restart"/>
            <w:tcBorders>
              <w:top w:val="nil"/>
              <w:left w:val="single" w:color="000000" w:sz="4" w:space="0"/>
              <w:bottom w:val="single" w:color="000000" w:sz="4" w:space="0"/>
              <w:right w:val="single" w:color="000000" w:sz="4" w:space="0"/>
            </w:tcBorders>
            <w:shd w:val="clear" w:color="auto" w:fill="auto"/>
            <w:vAlign w:val="center"/>
          </w:tcPr>
          <w:p w14:paraId="4D1E7818">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项目申报单位名称</w:t>
            </w:r>
          </w:p>
        </w:tc>
        <w:tc>
          <w:tcPr>
            <w:tcW w:w="1576" w:type="dxa"/>
            <w:vMerge w:val="restart"/>
            <w:tcBorders>
              <w:top w:val="nil"/>
              <w:left w:val="single" w:color="000000" w:sz="4" w:space="0"/>
              <w:bottom w:val="single" w:color="000000" w:sz="4" w:space="0"/>
              <w:right w:val="single" w:color="000000" w:sz="4" w:space="0"/>
            </w:tcBorders>
            <w:shd w:val="clear" w:color="auto" w:fill="auto"/>
            <w:vAlign w:val="center"/>
          </w:tcPr>
          <w:p w14:paraId="24F1FC19">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项目单位</w:t>
            </w:r>
            <w:r>
              <w:rPr>
                <w:rFonts w:hint="eastAsia" w:ascii="黑体" w:hAnsi="黑体" w:eastAsia="黑体" w:cs="宋体"/>
                <w:color w:val="000000"/>
                <w:kern w:val="0"/>
                <w:sz w:val="20"/>
                <w:szCs w:val="20"/>
              </w:rPr>
              <w:br w:type="textWrapping"/>
            </w:r>
            <w:r>
              <w:rPr>
                <w:rFonts w:hint="eastAsia" w:ascii="黑体" w:hAnsi="黑体" w:eastAsia="黑体" w:cs="宋体"/>
                <w:color w:val="000000"/>
                <w:kern w:val="0"/>
                <w:sz w:val="20"/>
                <w:szCs w:val="20"/>
              </w:rPr>
              <w:t>法人及</w:t>
            </w:r>
            <w:r>
              <w:rPr>
                <w:rFonts w:hint="eastAsia" w:ascii="黑体" w:hAnsi="黑体" w:eastAsia="黑体" w:cs="宋体"/>
                <w:color w:val="000000"/>
                <w:kern w:val="0"/>
                <w:sz w:val="20"/>
                <w:szCs w:val="20"/>
              </w:rPr>
              <w:br w:type="textWrapping"/>
            </w:r>
            <w:r>
              <w:rPr>
                <w:rFonts w:hint="eastAsia" w:ascii="黑体" w:hAnsi="黑体" w:eastAsia="黑体" w:cs="宋体"/>
                <w:color w:val="000000"/>
                <w:kern w:val="0"/>
                <w:sz w:val="20"/>
                <w:szCs w:val="20"/>
              </w:rPr>
              <w:t>联系电话</w:t>
            </w:r>
          </w:p>
        </w:tc>
        <w:tc>
          <w:tcPr>
            <w:tcW w:w="4693" w:type="dxa"/>
            <w:vMerge w:val="restart"/>
            <w:tcBorders>
              <w:top w:val="nil"/>
              <w:left w:val="single" w:color="000000" w:sz="4" w:space="0"/>
              <w:bottom w:val="single" w:color="000000" w:sz="4" w:space="0"/>
              <w:right w:val="single" w:color="000000" w:sz="4" w:space="0"/>
            </w:tcBorders>
            <w:shd w:val="clear" w:color="auto" w:fill="auto"/>
            <w:vAlign w:val="center"/>
          </w:tcPr>
          <w:p w14:paraId="72611A94">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项目实施内容及中央资金补助环节</w:t>
            </w:r>
          </w:p>
        </w:tc>
        <w:tc>
          <w:tcPr>
            <w:tcW w:w="3576" w:type="dxa"/>
            <w:gridSpan w:val="5"/>
            <w:tcBorders>
              <w:top w:val="single" w:color="000000" w:sz="4" w:space="0"/>
              <w:left w:val="nil"/>
              <w:bottom w:val="single" w:color="000000" w:sz="4" w:space="0"/>
              <w:right w:val="single" w:color="000000" w:sz="4" w:space="0"/>
            </w:tcBorders>
            <w:shd w:val="clear" w:color="auto" w:fill="auto"/>
            <w:vAlign w:val="center"/>
          </w:tcPr>
          <w:p w14:paraId="12459542">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总投资</w:t>
            </w:r>
          </w:p>
        </w:tc>
      </w:tr>
      <w:tr w14:paraId="30002286">
        <w:tblPrEx>
          <w:tblCellMar>
            <w:top w:w="0" w:type="dxa"/>
            <w:left w:w="108" w:type="dxa"/>
            <w:bottom w:w="0" w:type="dxa"/>
            <w:right w:w="108" w:type="dxa"/>
          </w:tblCellMar>
        </w:tblPrEx>
        <w:trPr>
          <w:trHeight w:val="795" w:hRule="atLeast"/>
        </w:trPr>
        <w:tc>
          <w:tcPr>
            <w:tcW w:w="461" w:type="dxa"/>
            <w:vMerge w:val="continue"/>
            <w:tcBorders>
              <w:top w:val="nil"/>
              <w:left w:val="single" w:color="000000" w:sz="4" w:space="0"/>
              <w:bottom w:val="single" w:color="000000" w:sz="4" w:space="0"/>
              <w:right w:val="single" w:color="000000" w:sz="4" w:space="0"/>
            </w:tcBorders>
            <w:vAlign w:val="center"/>
          </w:tcPr>
          <w:p w14:paraId="2E4C183B">
            <w:pPr>
              <w:widowControl/>
              <w:spacing w:after="0" w:line="240" w:lineRule="auto"/>
              <w:jc w:val="left"/>
              <w:rPr>
                <w:rFonts w:hint="eastAsia" w:ascii="黑体" w:hAnsi="黑体" w:eastAsia="黑体" w:cs="宋体"/>
                <w:color w:val="000000"/>
                <w:kern w:val="0"/>
                <w:sz w:val="20"/>
                <w:szCs w:val="20"/>
              </w:rPr>
            </w:pPr>
          </w:p>
        </w:tc>
        <w:tc>
          <w:tcPr>
            <w:tcW w:w="868" w:type="dxa"/>
            <w:vMerge w:val="continue"/>
            <w:tcBorders>
              <w:top w:val="nil"/>
              <w:left w:val="single" w:color="000000" w:sz="4" w:space="0"/>
              <w:bottom w:val="single" w:color="000000" w:sz="4" w:space="0"/>
              <w:right w:val="single" w:color="000000" w:sz="4" w:space="0"/>
            </w:tcBorders>
            <w:vAlign w:val="center"/>
          </w:tcPr>
          <w:p w14:paraId="384A4E73">
            <w:pPr>
              <w:widowControl/>
              <w:spacing w:after="0" w:line="240" w:lineRule="auto"/>
              <w:jc w:val="left"/>
              <w:rPr>
                <w:rFonts w:hint="eastAsia" w:ascii="黑体" w:hAnsi="黑体" w:eastAsia="黑体" w:cs="宋体"/>
                <w:color w:val="000000"/>
                <w:kern w:val="0"/>
                <w:sz w:val="20"/>
                <w:szCs w:val="20"/>
              </w:rPr>
            </w:pPr>
          </w:p>
        </w:tc>
        <w:tc>
          <w:tcPr>
            <w:tcW w:w="2086" w:type="dxa"/>
            <w:vMerge w:val="continue"/>
            <w:tcBorders>
              <w:top w:val="nil"/>
              <w:left w:val="single" w:color="000000" w:sz="4" w:space="0"/>
              <w:bottom w:val="single" w:color="000000" w:sz="4" w:space="0"/>
              <w:right w:val="single" w:color="000000" w:sz="4" w:space="0"/>
            </w:tcBorders>
            <w:vAlign w:val="center"/>
          </w:tcPr>
          <w:p w14:paraId="15B06267">
            <w:pPr>
              <w:widowControl/>
              <w:spacing w:after="0" w:line="240" w:lineRule="auto"/>
              <w:jc w:val="left"/>
              <w:rPr>
                <w:rFonts w:hint="eastAsia" w:ascii="黑体" w:hAnsi="黑体" w:eastAsia="黑体" w:cs="宋体"/>
                <w:color w:val="000000"/>
                <w:kern w:val="0"/>
                <w:sz w:val="20"/>
                <w:szCs w:val="20"/>
              </w:rPr>
            </w:pPr>
          </w:p>
        </w:tc>
        <w:tc>
          <w:tcPr>
            <w:tcW w:w="914" w:type="dxa"/>
            <w:vMerge w:val="continue"/>
            <w:tcBorders>
              <w:top w:val="nil"/>
              <w:left w:val="single" w:color="000000" w:sz="4" w:space="0"/>
              <w:bottom w:val="single" w:color="000000" w:sz="4" w:space="0"/>
              <w:right w:val="single" w:color="000000" w:sz="4" w:space="0"/>
            </w:tcBorders>
            <w:vAlign w:val="center"/>
          </w:tcPr>
          <w:p w14:paraId="2ABBCDFB">
            <w:pPr>
              <w:widowControl/>
              <w:spacing w:after="0" w:line="240" w:lineRule="auto"/>
              <w:jc w:val="left"/>
              <w:rPr>
                <w:rFonts w:hint="eastAsia" w:ascii="黑体" w:hAnsi="黑体" w:eastAsia="黑体" w:cs="宋体"/>
                <w:color w:val="000000"/>
                <w:kern w:val="0"/>
                <w:sz w:val="20"/>
                <w:szCs w:val="20"/>
              </w:rPr>
            </w:pPr>
          </w:p>
        </w:tc>
        <w:tc>
          <w:tcPr>
            <w:tcW w:w="1576" w:type="dxa"/>
            <w:vMerge w:val="continue"/>
            <w:tcBorders>
              <w:top w:val="nil"/>
              <w:left w:val="single" w:color="000000" w:sz="4" w:space="0"/>
              <w:bottom w:val="single" w:color="000000" w:sz="4" w:space="0"/>
              <w:right w:val="single" w:color="000000" w:sz="4" w:space="0"/>
            </w:tcBorders>
            <w:vAlign w:val="center"/>
          </w:tcPr>
          <w:p w14:paraId="01D9D162">
            <w:pPr>
              <w:widowControl/>
              <w:spacing w:after="0" w:line="240" w:lineRule="auto"/>
              <w:jc w:val="left"/>
              <w:rPr>
                <w:rFonts w:hint="eastAsia" w:ascii="黑体" w:hAnsi="黑体" w:eastAsia="黑体" w:cs="宋体"/>
                <w:color w:val="000000"/>
                <w:kern w:val="0"/>
                <w:sz w:val="20"/>
                <w:szCs w:val="20"/>
              </w:rPr>
            </w:pPr>
          </w:p>
        </w:tc>
        <w:tc>
          <w:tcPr>
            <w:tcW w:w="4693" w:type="dxa"/>
            <w:vMerge w:val="continue"/>
            <w:tcBorders>
              <w:top w:val="nil"/>
              <w:left w:val="single" w:color="000000" w:sz="4" w:space="0"/>
              <w:bottom w:val="single" w:color="000000" w:sz="4" w:space="0"/>
              <w:right w:val="single" w:color="000000" w:sz="4" w:space="0"/>
            </w:tcBorders>
            <w:vAlign w:val="center"/>
          </w:tcPr>
          <w:p w14:paraId="1C423CC0">
            <w:pPr>
              <w:widowControl/>
              <w:spacing w:after="0" w:line="240" w:lineRule="auto"/>
              <w:jc w:val="left"/>
              <w:rPr>
                <w:rFonts w:hint="eastAsia" w:ascii="黑体" w:hAnsi="黑体" w:eastAsia="黑体" w:cs="宋体"/>
                <w:color w:val="000000"/>
                <w:kern w:val="0"/>
                <w:sz w:val="20"/>
                <w:szCs w:val="20"/>
              </w:rPr>
            </w:pPr>
          </w:p>
        </w:tc>
        <w:tc>
          <w:tcPr>
            <w:tcW w:w="850" w:type="dxa"/>
            <w:tcBorders>
              <w:top w:val="nil"/>
              <w:left w:val="nil"/>
              <w:bottom w:val="single" w:color="000000" w:sz="4" w:space="0"/>
              <w:right w:val="single" w:color="000000" w:sz="4" w:space="0"/>
            </w:tcBorders>
            <w:shd w:val="clear" w:color="auto" w:fill="auto"/>
            <w:vAlign w:val="center"/>
          </w:tcPr>
          <w:p w14:paraId="3421424F">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合计</w:t>
            </w:r>
          </w:p>
        </w:tc>
        <w:tc>
          <w:tcPr>
            <w:tcW w:w="851" w:type="dxa"/>
            <w:tcBorders>
              <w:top w:val="nil"/>
              <w:left w:val="nil"/>
              <w:bottom w:val="single" w:color="000000" w:sz="4" w:space="0"/>
              <w:right w:val="single" w:color="000000" w:sz="4" w:space="0"/>
            </w:tcBorders>
            <w:shd w:val="clear" w:color="auto" w:fill="auto"/>
            <w:vAlign w:val="center"/>
          </w:tcPr>
          <w:p w14:paraId="7AF98FC9">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申请中央财政资金</w:t>
            </w:r>
          </w:p>
        </w:tc>
        <w:tc>
          <w:tcPr>
            <w:tcW w:w="680" w:type="dxa"/>
            <w:tcBorders>
              <w:top w:val="nil"/>
              <w:left w:val="nil"/>
              <w:bottom w:val="single" w:color="000000" w:sz="4" w:space="0"/>
              <w:right w:val="single" w:color="000000" w:sz="4" w:space="0"/>
            </w:tcBorders>
            <w:shd w:val="clear" w:color="auto" w:fill="auto"/>
            <w:vAlign w:val="center"/>
          </w:tcPr>
          <w:p w14:paraId="530E0FF9">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省级财政资金</w:t>
            </w:r>
          </w:p>
        </w:tc>
        <w:tc>
          <w:tcPr>
            <w:tcW w:w="642" w:type="dxa"/>
            <w:tcBorders>
              <w:top w:val="nil"/>
              <w:left w:val="nil"/>
              <w:bottom w:val="single" w:color="000000" w:sz="4" w:space="0"/>
              <w:right w:val="single" w:color="000000" w:sz="4" w:space="0"/>
            </w:tcBorders>
            <w:shd w:val="clear" w:color="auto" w:fill="auto"/>
            <w:vAlign w:val="center"/>
          </w:tcPr>
          <w:p w14:paraId="5D87AA55">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市级财政资金</w:t>
            </w:r>
          </w:p>
        </w:tc>
        <w:tc>
          <w:tcPr>
            <w:tcW w:w="553" w:type="dxa"/>
            <w:tcBorders>
              <w:top w:val="nil"/>
              <w:left w:val="nil"/>
              <w:bottom w:val="single" w:color="000000" w:sz="4" w:space="0"/>
              <w:right w:val="single" w:color="000000" w:sz="4" w:space="0"/>
            </w:tcBorders>
            <w:shd w:val="clear" w:color="auto" w:fill="auto"/>
            <w:vAlign w:val="center"/>
          </w:tcPr>
          <w:p w14:paraId="389E67C7">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自筹资金</w:t>
            </w:r>
          </w:p>
        </w:tc>
      </w:tr>
      <w:tr w14:paraId="1CC9E39E">
        <w:tblPrEx>
          <w:tblCellMar>
            <w:top w:w="0" w:type="dxa"/>
            <w:left w:w="108" w:type="dxa"/>
            <w:bottom w:w="0" w:type="dxa"/>
            <w:right w:w="108" w:type="dxa"/>
          </w:tblCellMar>
        </w:tblPrEx>
        <w:trPr>
          <w:trHeight w:val="3795" w:hRule="atLeast"/>
        </w:trPr>
        <w:tc>
          <w:tcPr>
            <w:tcW w:w="461" w:type="dxa"/>
            <w:tcBorders>
              <w:top w:val="nil"/>
              <w:left w:val="single" w:color="000000" w:sz="4" w:space="0"/>
              <w:bottom w:val="single" w:color="000000" w:sz="4" w:space="0"/>
              <w:right w:val="single" w:color="000000" w:sz="4" w:space="0"/>
            </w:tcBorders>
            <w:shd w:val="clear" w:color="auto" w:fill="auto"/>
            <w:vAlign w:val="center"/>
          </w:tcPr>
          <w:p w14:paraId="1039315E">
            <w:pPr>
              <w:widowControl/>
              <w:spacing w:after="0" w:line="240" w:lineRule="auto"/>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w:t>
            </w:r>
          </w:p>
        </w:tc>
        <w:tc>
          <w:tcPr>
            <w:tcW w:w="868" w:type="dxa"/>
            <w:tcBorders>
              <w:top w:val="nil"/>
              <w:left w:val="nil"/>
              <w:bottom w:val="single" w:color="000000" w:sz="4" w:space="0"/>
              <w:right w:val="single" w:color="000000" w:sz="4" w:space="0"/>
            </w:tcBorders>
            <w:shd w:val="clear" w:color="auto" w:fill="auto"/>
            <w:vAlign w:val="center"/>
          </w:tcPr>
          <w:p w14:paraId="7D27AFF2">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宝鸡市陈仓区农业农村局</w:t>
            </w:r>
          </w:p>
        </w:tc>
        <w:tc>
          <w:tcPr>
            <w:tcW w:w="2086" w:type="dxa"/>
            <w:tcBorders>
              <w:top w:val="nil"/>
              <w:left w:val="nil"/>
              <w:bottom w:val="single" w:color="000000" w:sz="4" w:space="0"/>
              <w:right w:val="single" w:color="000000" w:sz="4" w:space="0"/>
            </w:tcBorders>
            <w:shd w:val="clear" w:color="auto" w:fill="auto"/>
            <w:vAlign w:val="center"/>
          </w:tcPr>
          <w:p w14:paraId="7695DE15">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宝鸡市陈仓区2025年农业防灾减灾和水利救灾资金动物防疫补助项目</w:t>
            </w:r>
          </w:p>
        </w:tc>
        <w:tc>
          <w:tcPr>
            <w:tcW w:w="914" w:type="dxa"/>
            <w:tcBorders>
              <w:top w:val="nil"/>
              <w:left w:val="nil"/>
              <w:bottom w:val="single" w:color="000000" w:sz="4" w:space="0"/>
              <w:right w:val="single" w:color="000000" w:sz="4" w:space="0"/>
            </w:tcBorders>
            <w:shd w:val="clear" w:color="auto" w:fill="auto"/>
            <w:vAlign w:val="center"/>
          </w:tcPr>
          <w:p w14:paraId="6E75BF8A">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陈仓区畜牧兽医技术推广站</w:t>
            </w:r>
          </w:p>
        </w:tc>
        <w:tc>
          <w:tcPr>
            <w:tcW w:w="1576" w:type="dxa"/>
            <w:tcBorders>
              <w:top w:val="nil"/>
              <w:left w:val="nil"/>
              <w:bottom w:val="single" w:color="000000" w:sz="4" w:space="0"/>
              <w:right w:val="single" w:color="000000" w:sz="4" w:space="0"/>
            </w:tcBorders>
            <w:shd w:val="clear" w:color="auto" w:fill="auto"/>
            <w:vAlign w:val="center"/>
          </w:tcPr>
          <w:p w14:paraId="36421156">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张竞        电话13892749630</w:t>
            </w:r>
          </w:p>
        </w:tc>
        <w:tc>
          <w:tcPr>
            <w:tcW w:w="4693" w:type="dxa"/>
            <w:tcBorders>
              <w:top w:val="nil"/>
              <w:left w:val="nil"/>
              <w:bottom w:val="single" w:color="000000" w:sz="4" w:space="0"/>
              <w:right w:val="single" w:color="000000" w:sz="4" w:space="0"/>
            </w:tcBorders>
            <w:shd w:val="clear" w:color="auto" w:fill="auto"/>
            <w:vAlign w:val="center"/>
          </w:tcPr>
          <w:p w14:paraId="1F9FE1FE">
            <w:pPr>
              <w:widowControl/>
              <w:spacing w:after="0" w:line="240" w:lineRule="auto"/>
              <w:ind w:firstLine="400" w:firstLineChars="200"/>
              <w:jc w:val="left"/>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强制免疫补助经费72.0万元，其中强制免疫疫苗经费40.0万元、强制免疫注射补助经费21.0万元、重大动物疫病和重点人兽共患病监测净化5.0万元免疫效价监测评估和人员防护补助经费6.0万元；重大动物疫病强制扑杀和销毁补助6.72万元，其中；养殖环节病死猪无害化处理补助经费51.5万元。</w:t>
            </w:r>
          </w:p>
        </w:tc>
        <w:tc>
          <w:tcPr>
            <w:tcW w:w="850" w:type="dxa"/>
            <w:tcBorders>
              <w:top w:val="nil"/>
              <w:left w:val="nil"/>
              <w:bottom w:val="single" w:color="000000" w:sz="4" w:space="0"/>
              <w:right w:val="single" w:color="000000" w:sz="4" w:space="0"/>
            </w:tcBorders>
            <w:shd w:val="clear" w:color="auto" w:fill="auto"/>
            <w:vAlign w:val="center"/>
          </w:tcPr>
          <w:p w14:paraId="53AD8744">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130.22</w:t>
            </w:r>
          </w:p>
        </w:tc>
        <w:tc>
          <w:tcPr>
            <w:tcW w:w="851" w:type="dxa"/>
            <w:tcBorders>
              <w:top w:val="nil"/>
              <w:left w:val="nil"/>
              <w:bottom w:val="single" w:color="000000" w:sz="4" w:space="0"/>
              <w:right w:val="single" w:color="000000" w:sz="4" w:space="0"/>
            </w:tcBorders>
            <w:shd w:val="clear" w:color="auto" w:fill="auto"/>
            <w:vAlign w:val="center"/>
          </w:tcPr>
          <w:p w14:paraId="432B2C2C">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130.22</w:t>
            </w:r>
          </w:p>
        </w:tc>
        <w:tc>
          <w:tcPr>
            <w:tcW w:w="680" w:type="dxa"/>
            <w:tcBorders>
              <w:top w:val="nil"/>
              <w:left w:val="nil"/>
              <w:bottom w:val="single" w:color="000000" w:sz="4" w:space="0"/>
              <w:right w:val="single" w:color="000000" w:sz="4" w:space="0"/>
            </w:tcBorders>
            <w:shd w:val="clear" w:color="auto" w:fill="auto"/>
            <w:vAlign w:val="center"/>
          </w:tcPr>
          <w:p w14:paraId="6A4A601C">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　</w:t>
            </w:r>
          </w:p>
        </w:tc>
        <w:tc>
          <w:tcPr>
            <w:tcW w:w="642" w:type="dxa"/>
            <w:tcBorders>
              <w:top w:val="nil"/>
              <w:left w:val="nil"/>
              <w:bottom w:val="single" w:color="000000" w:sz="4" w:space="0"/>
              <w:right w:val="single" w:color="000000" w:sz="4" w:space="0"/>
            </w:tcBorders>
            <w:shd w:val="clear" w:color="auto" w:fill="auto"/>
            <w:vAlign w:val="center"/>
          </w:tcPr>
          <w:p w14:paraId="425600FE">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　</w:t>
            </w:r>
          </w:p>
        </w:tc>
        <w:tc>
          <w:tcPr>
            <w:tcW w:w="553" w:type="dxa"/>
            <w:tcBorders>
              <w:top w:val="nil"/>
              <w:left w:val="nil"/>
              <w:bottom w:val="single" w:color="000000" w:sz="4" w:space="0"/>
              <w:right w:val="single" w:color="000000" w:sz="4" w:space="0"/>
            </w:tcBorders>
            <w:shd w:val="clear" w:color="auto" w:fill="auto"/>
            <w:vAlign w:val="center"/>
          </w:tcPr>
          <w:p w14:paraId="7870DC8C">
            <w:pPr>
              <w:widowControl/>
              <w:spacing w:after="0" w:line="240" w:lineRule="auto"/>
              <w:jc w:val="center"/>
              <w:rPr>
                <w:rFonts w:hint="eastAsia" w:ascii="黑体" w:hAnsi="黑体" w:eastAsia="黑体" w:cs="宋体"/>
                <w:color w:val="000000"/>
                <w:kern w:val="0"/>
                <w:sz w:val="20"/>
                <w:szCs w:val="20"/>
              </w:rPr>
            </w:pPr>
            <w:r>
              <w:rPr>
                <w:rFonts w:hint="eastAsia" w:ascii="黑体" w:hAnsi="黑体" w:eastAsia="黑体" w:cs="宋体"/>
                <w:color w:val="000000"/>
                <w:kern w:val="0"/>
                <w:sz w:val="20"/>
                <w:szCs w:val="20"/>
              </w:rPr>
              <w:t>　</w:t>
            </w:r>
          </w:p>
        </w:tc>
      </w:tr>
    </w:tbl>
    <w:p w14:paraId="615BDE5B">
      <w:pPr>
        <w:spacing w:line="220" w:lineRule="atLeast"/>
        <w:rPr>
          <w:rFonts w:ascii="Tahoma" w:hAnsi="Tahoma" w:eastAsia="微软雅黑"/>
          <w:sz w:val="22"/>
        </w:rPr>
      </w:pPr>
    </w:p>
    <w:sectPr>
      <w:pgSz w:w="16838" w:h="11906" w:orient="landscape"/>
      <w:pgMar w:top="1797" w:right="1440" w:bottom="1797" w:left="1440" w:header="851" w:footer="992" w:gutter="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431C0"/>
    <w:rsid w:val="00001F43"/>
    <w:rsid w:val="000346BD"/>
    <w:rsid w:val="00041E9E"/>
    <w:rsid w:val="00050861"/>
    <w:rsid w:val="000618C2"/>
    <w:rsid w:val="0009335A"/>
    <w:rsid w:val="000A32AF"/>
    <w:rsid w:val="000B4CF2"/>
    <w:rsid w:val="000F3AB1"/>
    <w:rsid w:val="001201B9"/>
    <w:rsid w:val="00123074"/>
    <w:rsid w:val="00144D18"/>
    <w:rsid w:val="001569D0"/>
    <w:rsid w:val="00165412"/>
    <w:rsid w:val="001B10C6"/>
    <w:rsid w:val="001D45BE"/>
    <w:rsid w:val="001E6EAD"/>
    <w:rsid w:val="001F0ABF"/>
    <w:rsid w:val="001F5AF0"/>
    <w:rsid w:val="00234561"/>
    <w:rsid w:val="002C5FF9"/>
    <w:rsid w:val="002E57DE"/>
    <w:rsid w:val="002E7160"/>
    <w:rsid w:val="003F2446"/>
    <w:rsid w:val="00402D19"/>
    <w:rsid w:val="00424598"/>
    <w:rsid w:val="00427C8D"/>
    <w:rsid w:val="00472172"/>
    <w:rsid w:val="00477609"/>
    <w:rsid w:val="00496836"/>
    <w:rsid w:val="004A07EE"/>
    <w:rsid w:val="004E7DE0"/>
    <w:rsid w:val="00532496"/>
    <w:rsid w:val="00596970"/>
    <w:rsid w:val="005B3716"/>
    <w:rsid w:val="005F21D4"/>
    <w:rsid w:val="005F6F43"/>
    <w:rsid w:val="006272B2"/>
    <w:rsid w:val="0063091C"/>
    <w:rsid w:val="00633580"/>
    <w:rsid w:val="006522B4"/>
    <w:rsid w:val="0066308A"/>
    <w:rsid w:val="00665E09"/>
    <w:rsid w:val="00674648"/>
    <w:rsid w:val="006759B4"/>
    <w:rsid w:val="00686E91"/>
    <w:rsid w:val="006A76A0"/>
    <w:rsid w:val="006B3917"/>
    <w:rsid w:val="006C2A70"/>
    <w:rsid w:val="006F6BD6"/>
    <w:rsid w:val="00733674"/>
    <w:rsid w:val="007431C0"/>
    <w:rsid w:val="007956C3"/>
    <w:rsid w:val="007D2181"/>
    <w:rsid w:val="007D35A2"/>
    <w:rsid w:val="007F6766"/>
    <w:rsid w:val="007F6F57"/>
    <w:rsid w:val="008122AA"/>
    <w:rsid w:val="0081422D"/>
    <w:rsid w:val="008245B9"/>
    <w:rsid w:val="008451D8"/>
    <w:rsid w:val="00863E7D"/>
    <w:rsid w:val="00880055"/>
    <w:rsid w:val="00886743"/>
    <w:rsid w:val="008A0E81"/>
    <w:rsid w:val="008C2E4F"/>
    <w:rsid w:val="008C39B5"/>
    <w:rsid w:val="009006EB"/>
    <w:rsid w:val="0093562A"/>
    <w:rsid w:val="00936E81"/>
    <w:rsid w:val="00950E46"/>
    <w:rsid w:val="00977A68"/>
    <w:rsid w:val="00995BDF"/>
    <w:rsid w:val="009E7AFD"/>
    <w:rsid w:val="00A117D6"/>
    <w:rsid w:val="00A127CA"/>
    <w:rsid w:val="00A1502F"/>
    <w:rsid w:val="00A4369F"/>
    <w:rsid w:val="00A6123B"/>
    <w:rsid w:val="00A942C8"/>
    <w:rsid w:val="00B3637B"/>
    <w:rsid w:val="00BA6CC3"/>
    <w:rsid w:val="00BB13E9"/>
    <w:rsid w:val="00BB3063"/>
    <w:rsid w:val="00BB4793"/>
    <w:rsid w:val="00C11EC7"/>
    <w:rsid w:val="00CB0E20"/>
    <w:rsid w:val="00CC762D"/>
    <w:rsid w:val="00CF33D0"/>
    <w:rsid w:val="00D01F58"/>
    <w:rsid w:val="00D2746D"/>
    <w:rsid w:val="00E07A46"/>
    <w:rsid w:val="00E2703E"/>
    <w:rsid w:val="00E57AC7"/>
    <w:rsid w:val="00EF7EA9"/>
    <w:rsid w:val="00F1282F"/>
    <w:rsid w:val="00F14FAE"/>
    <w:rsid w:val="00F15C64"/>
    <w:rsid w:val="00F47854"/>
    <w:rsid w:val="00FD0C58"/>
    <w:rsid w:val="0A7C35E5"/>
    <w:rsid w:val="2E750F56"/>
    <w:rsid w:val="71FC6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rPr>
      <w:rFonts w:eastAsia="微软雅黑"/>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FAE2D92-8686-4E8E-B7A3-6CBB35F69A7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4566</Words>
  <Characters>4838</Characters>
  <Lines>38</Lines>
  <Paragraphs>10</Paragraphs>
  <TotalTime>392</TotalTime>
  <ScaleCrop>false</ScaleCrop>
  <LinksUpToDate>false</LinksUpToDate>
  <CharactersWithSpaces>4870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2024-10-15T01:25:00Z</dcterms:created>
  <dc:creator>lenovo</dc:creator>
  <cp:lastModifiedBy>刘小米 </cp:lastModifiedBy>
  <cp:lastPrinted>2025-10-27T00:30:00Z</cp:lastPrinted>
  <dcterms:modified xsi:type="dcterms:W3CDTF">2025-11-28T08:02:04Z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eyJoZGlkIjoiNmZjYzczZjM1NzJkZTZlMDVjYjA1NmQxMWNhYzc2ZTkiLCJ1c2VySWQiOiI2MjAxNjQ2MzYifQ==</vt:lpwstr>
  </property>
  <property fmtid="{D5CDD505-2E9C-101B-9397-08002B2CF9AE}" pid="4" name="ICV">
    <vt:lpwstr>FA075D8D067042CDA6839EEDC135F43B_12</vt:lpwstr>
  </property>
</Properties>
</file>